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CB" w:rsidRPr="00C419CB" w:rsidRDefault="00C419CB" w:rsidP="00C419CB">
      <w:pPr>
        <w:jc w:val="center"/>
        <w:rPr>
          <w:rFonts w:ascii="方正小标宋简体" w:eastAsia="方正小标宋简体"/>
          <w:sz w:val="36"/>
          <w:szCs w:val="36"/>
        </w:rPr>
      </w:pPr>
      <w:r w:rsidRPr="00C419CB">
        <w:rPr>
          <w:rFonts w:ascii="方正小标宋简体" w:eastAsia="方正小标宋简体" w:hint="eastAsia"/>
          <w:sz w:val="36"/>
          <w:szCs w:val="36"/>
        </w:rPr>
        <w:t>天津市水上治安管理规定</w:t>
      </w:r>
    </w:p>
    <w:p w:rsidR="00C419CB" w:rsidRPr="00C419CB" w:rsidRDefault="00CD654A" w:rsidP="00CD654A">
      <w:pPr>
        <w:jc w:val="center"/>
        <w:rPr>
          <w:rFonts w:ascii="仿宋_GB2312" w:eastAsia="仿宋_GB2312"/>
          <w:sz w:val="32"/>
          <w:szCs w:val="32"/>
        </w:rPr>
      </w:pPr>
      <w:r w:rsidRPr="00CD654A">
        <w:rPr>
          <w:rFonts w:ascii="仿宋_GB2312" w:eastAsia="仿宋_GB2312" w:hint="eastAsia"/>
          <w:sz w:val="32"/>
          <w:szCs w:val="32"/>
        </w:rPr>
        <w:t>政府令第</w:t>
      </w:r>
      <w:r w:rsidR="00397300">
        <w:rPr>
          <w:rFonts w:ascii="仿宋_GB2312" w:eastAsia="仿宋_GB2312" w:hint="eastAsia"/>
          <w:sz w:val="32"/>
          <w:szCs w:val="32"/>
        </w:rPr>
        <w:t>29</w:t>
      </w:r>
      <w:r w:rsidRPr="00CD654A">
        <w:rPr>
          <w:rFonts w:ascii="仿宋_GB2312" w:eastAsia="仿宋_GB2312" w:hint="eastAsia"/>
          <w:sz w:val="32"/>
          <w:szCs w:val="32"/>
        </w:rPr>
        <w:t>号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>(1987年11月17日市人民政府发布 1990年9月15日市人民政府第一次修订 2002年1月18日市人民政府第二次修订 2004年6月30日根据市人民政府《关于修改〈天津市水上治安管理规定〉的决定》第三次修订 根据2010年11月</w:t>
      </w:r>
      <w:r w:rsidR="00397300">
        <w:rPr>
          <w:rFonts w:ascii="仿宋_GB2312" w:eastAsia="仿宋_GB2312" w:hint="eastAsia"/>
          <w:sz w:val="32"/>
          <w:szCs w:val="32"/>
        </w:rPr>
        <w:t>16</w:t>
      </w:r>
      <w:r w:rsidRPr="00C419CB">
        <w:rPr>
          <w:rFonts w:ascii="仿宋_GB2312" w:eastAsia="仿宋_GB2312" w:hint="eastAsia"/>
          <w:sz w:val="32"/>
          <w:szCs w:val="32"/>
        </w:rPr>
        <w:t>日市人民政府第59次常务会议</w:t>
      </w:r>
      <w:r w:rsidR="00397300">
        <w:rPr>
          <w:rFonts w:ascii="仿宋_GB2312" w:eastAsia="仿宋_GB2312" w:hint="eastAsia"/>
          <w:sz w:val="32"/>
          <w:szCs w:val="32"/>
        </w:rPr>
        <w:t>市政府令第29号</w:t>
      </w:r>
      <w:r w:rsidRPr="00C419CB">
        <w:rPr>
          <w:rFonts w:ascii="仿宋_GB2312" w:eastAsia="仿宋_GB2312" w:hint="eastAsia"/>
          <w:sz w:val="32"/>
          <w:szCs w:val="32"/>
        </w:rPr>
        <w:t>《</w:t>
      </w:r>
      <w:r w:rsidR="00397300">
        <w:rPr>
          <w:rFonts w:ascii="仿宋_GB2312" w:eastAsia="仿宋_GB2312" w:hint="eastAsia"/>
          <w:sz w:val="32"/>
          <w:szCs w:val="32"/>
        </w:rPr>
        <w:t>天津市人民政府</w:t>
      </w:r>
      <w:r w:rsidRPr="00C419CB">
        <w:rPr>
          <w:rFonts w:ascii="仿宋_GB2312" w:eastAsia="仿宋_GB2312" w:hint="eastAsia"/>
          <w:sz w:val="32"/>
          <w:szCs w:val="32"/>
        </w:rPr>
        <w:t xml:space="preserve">关于修改部分市政府规章的决定》修正) </w:t>
      </w:r>
    </w:p>
    <w:p w:rsidR="00C419CB" w:rsidRDefault="00C419CB" w:rsidP="00C419CB">
      <w:pPr>
        <w:rPr>
          <w:rFonts w:ascii="仿宋_GB2312" w:eastAsia="仿宋_GB2312"/>
          <w:sz w:val="32"/>
          <w:szCs w:val="32"/>
        </w:rPr>
      </w:pP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第一条　为加强水上治安管理，维</w:t>
      </w:r>
      <w:bookmarkStart w:id="0" w:name="_GoBack"/>
      <w:bookmarkEnd w:id="0"/>
      <w:r w:rsidRPr="00C419CB">
        <w:rPr>
          <w:rFonts w:ascii="仿宋_GB2312" w:eastAsia="仿宋_GB2312" w:hint="eastAsia"/>
          <w:sz w:val="32"/>
          <w:szCs w:val="32"/>
        </w:rPr>
        <w:t>护社会治安秩序，保障人民生命和财产的安全，依据有关法律、法规，制定本规定。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第二条　凡在本市所辖内河（指河流、湖泊、水库）、沿海水域内从事生产、运输、作业、游览等活动的船舶和人员，以及上述水域内的码头、渡口、水上公共场所，均适用本规定。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第三条　在水上营运的船舶及船员、船民、渔民，须持有港务监督、港航监督、渔政管理部门颁发的证件。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第四条　码头、渡口以及水上其他供群众聚集的场所，必须符合安全规定，并在显著位置设安全规则须知牌。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第五条　举办大型水上娱乐、体育等群众性活动，主办单位应制定安全实施方案，采取相应的安全措施，并报公安</w:t>
      </w:r>
      <w:r w:rsidRPr="00C419CB">
        <w:rPr>
          <w:rFonts w:ascii="仿宋_GB2312" w:eastAsia="仿宋_GB2312" w:hint="eastAsia"/>
          <w:sz w:val="32"/>
          <w:szCs w:val="32"/>
        </w:rPr>
        <w:lastRenderedPageBreak/>
        <w:t>机关备案。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第六条　各类船舶必须遵守下列规定: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（一）建立治保组织或确定治保人员，负责船上治安保卫和水上安全营运；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（二）按规定配置相应的防火和救生设备，严格火源、电源管理；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（三）运输易燃、易爆、剧毒等危险物品，应符合有关规定；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（四）上下人员或装卸货物必须在指定停泊区域内；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（五）夜间作业、停泊，须悬挂标志、信号；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（六）收港时，应定点停泊。未经许可，不准在航道、桥下或其他禁止停靠的地方停泊。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第七条　客船、游览船、运输船，严禁违章超载、冒险航行。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渡船必须符合安全规定。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第八条　船员、船民、渔民必须遵守下列规定: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（一）严禁饮酒后驾驶或无证驾驶船舶；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（二）不得随意搭靠外轮；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（三）发现不法分子或可疑物品，应及时报告公安机关；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（四）捡获的违禁物品或其他贵重物品，应上交公安机关；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（五）不准在船上赌博或者为赌博提供条件；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lastRenderedPageBreak/>
        <w:t xml:space="preserve">　　（六）严禁在船上卖淫或容留卖淫、嫖娼；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（七）严禁利用船舶走私、贩私、盗窃、窝赃、销赃、偷渡。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第九条　游客、乘客必须遵守下列规定: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（一）</w:t>
      </w:r>
      <w:proofErr w:type="gramStart"/>
      <w:r w:rsidRPr="00C419CB">
        <w:rPr>
          <w:rFonts w:ascii="仿宋_GB2312" w:eastAsia="仿宋_GB2312" w:hint="eastAsia"/>
          <w:sz w:val="32"/>
          <w:szCs w:val="32"/>
        </w:rPr>
        <w:t>严禁抢蹬渡船</w:t>
      </w:r>
      <w:proofErr w:type="gramEnd"/>
      <w:r w:rsidRPr="00C419CB">
        <w:rPr>
          <w:rFonts w:ascii="仿宋_GB2312" w:eastAsia="仿宋_GB2312" w:hint="eastAsia"/>
          <w:sz w:val="32"/>
          <w:szCs w:val="32"/>
        </w:rPr>
        <w:t>造成渡船超载或强迫渡船驾驶员违反安全规定冒险航行；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（二）严禁倒卖船票、寻衅滋事或扰乱码头、渡口及船上秩序；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（三）严禁携带或夹带易燃、易爆、化学危险物品乘船；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（四）严禁酗酒后划船或在禁止游泳的水域内跳水、游泳。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第十条　严禁在水域内违反规定使用爆炸、剧毒物品和电网。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第十一条　严禁在航道内放置障碍物；严禁损毁、移动水上指示标志和其他公共设施。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第十二条　对违反本规定的行为，视情节轻重予以处罚: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（一）违反第九条第（四）项规定的，处以警告或者200元以下罚款。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（二）对违反第六条第（一）、（二）、（四）、（五）、（六）项，第七条第一款，第八条第（一）、（二）项，第九条第（三）项规定行为之一的，分别由有关部门按有关规定处理。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lastRenderedPageBreak/>
        <w:t xml:space="preserve">　　（三）对违反第四条，第五条，第六条第（三）项，第七条第二款，第八条第（五）、（六）项，第九条第（一）、（二）项，第十条，第十一条规定行为之一的，依照《中华人民共和国治安管理处罚法》予以处罚。</w:t>
      </w:r>
    </w:p>
    <w:p w:rsidR="00C419CB" w:rsidRPr="00C419CB" w:rsidRDefault="00C419CB" w:rsidP="00C419CB">
      <w:pPr>
        <w:rPr>
          <w:rFonts w:ascii="仿宋_GB2312" w:eastAsia="仿宋_GB2312"/>
          <w:sz w:val="32"/>
          <w:szCs w:val="32"/>
        </w:rPr>
      </w:pPr>
      <w:r w:rsidRPr="00C419CB">
        <w:rPr>
          <w:rFonts w:ascii="仿宋_GB2312" w:eastAsia="仿宋_GB2312" w:hint="eastAsia"/>
          <w:sz w:val="32"/>
          <w:szCs w:val="32"/>
        </w:rPr>
        <w:t xml:space="preserve">　　第十三条　本规定自2004年7月1日起施行。 </w:t>
      </w:r>
    </w:p>
    <w:p w:rsidR="00973055" w:rsidRPr="00C419CB" w:rsidRDefault="00973055">
      <w:pPr>
        <w:rPr>
          <w:rFonts w:ascii="仿宋_GB2312" w:eastAsia="仿宋_GB2312"/>
          <w:sz w:val="32"/>
          <w:szCs w:val="32"/>
        </w:rPr>
      </w:pPr>
    </w:p>
    <w:sectPr w:rsidR="00973055" w:rsidRPr="00C419C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9D" w:rsidRDefault="00B23F9D" w:rsidP="00C419CB">
      <w:r>
        <w:separator/>
      </w:r>
    </w:p>
  </w:endnote>
  <w:endnote w:type="continuationSeparator" w:id="0">
    <w:p w:rsidR="00B23F9D" w:rsidRDefault="00B23F9D" w:rsidP="00C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687008"/>
      <w:docPartObj>
        <w:docPartGallery w:val="Page Numbers (Bottom of Page)"/>
        <w:docPartUnique/>
      </w:docPartObj>
    </w:sdtPr>
    <w:sdtEndPr/>
    <w:sdtContent>
      <w:p w:rsidR="00832BF6" w:rsidRDefault="00832B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76C" w:rsidRPr="0055576C">
          <w:rPr>
            <w:noProof/>
            <w:lang w:val="zh-CN"/>
          </w:rPr>
          <w:t>1</w:t>
        </w:r>
        <w:r>
          <w:fldChar w:fldCharType="end"/>
        </w:r>
      </w:p>
    </w:sdtContent>
  </w:sdt>
  <w:p w:rsidR="00832BF6" w:rsidRDefault="00832B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9D" w:rsidRDefault="00B23F9D" w:rsidP="00C419CB">
      <w:r>
        <w:separator/>
      </w:r>
    </w:p>
  </w:footnote>
  <w:footnote w:type="continuationSeparator" w:id="0">
    <w:p w:rsidR="00B23F9D" w:rsidRDefault="00B23F9D" w:rsidP="00C4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EE"/>
    <w:rsid w:val="00397300"/>
    <w:rsid w:val="0055576C"/>
    <w:rsid w:val="00832BF6"/>
    <w:rsid w:val="00973055"/>
    <w:rsid w:val="00A1502B"/>
    <w:rsid w:val="00AD2D76"/>
    <w:rsid w:val="00B23F9D"/>
    <w:rsid w:val="00B875EE"/>
    <w:rsid w:val="00C419CB"/>
    <w:rsid w:val="00C461F0"/>
    <w:rsid w:val="00CD654A"/>
    <w:rsid w:val="00D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9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9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08BB-DCD7-47A4-886C-E8E43C82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212</Words>
  <Characters>1210</Characters>
  <Application>Microsoft Office Word</Application>
  <DocSecurity>0</DocSecurity>
  <Lines>10</Lines>
  <Paragraphs>2</Paragraphs>
  <ScaleCrop>false</ScaleCrop>
  <Company>Lenovo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fzb07k</dc:creator>
  <cp:keywords/>
  <dc:description/>
  <cp:lastModifiedBy>任怀森</cp:lastModifiedBy>
  <cp:revision>7</cp:revision>
  <dcterms:created xsi:type="dcterms:W3CDTF">2017-06-27T06:18:00Z</dcterms:created>
  <dcterms:modified xsi:type="dcterms:W3CDTF">2025-08-18T06:44:00Z</dcterms:modified>
</cp:coreProperties>
</file>