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天津市公安局交通警察总队科技和设施保障支队2023年度部门决算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天津市公安局交通警察总队科技和设施保障支队系天津市公安交通警察总队直属处级单位，其业务职责如下：</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负责我市道路交通安全设施和科技设施的基本建设和日常维护监督管理工作。包括交通信号灯建设和日常维护分项、道路交通安全标线施划分项、其他交通安全设施日常维护分项以及标志标线护栏视频监控系统、电子警察系统、信号控制系统、执法信息采集系统、指挥调度系统等建设以及运行维护工作和配套的通讯租费服务等。</w:t>
      </w:r>
    </w:p>
    <w:p>
      <w:pPr>
        <w:keepNext/>
        <w:keepLines/>
        <w:autoSpaceDE w:val="0"/>
        <w:autoSpaceDN w:val="0"/>
        <w:adjustRightInd w:val="0"/>
        <w:spacing w:line="600" w:lineRule="exact"/>
        <w:ind w:firstLine="600"/>
        <w:jc w:val="both"/>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天津市公安局交通警察总队科技和设施保障支队内设2个职能科室，3个大队。</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1.天津市公安局交通警察总队科技和设施保障支队2023年度政府性基金预算财政拨款收入支出决算表为空表。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2.天津市公安局交通警察总队科技和设施保障支队2023年度国有资本经营预算财政拨款收入支出决算表为空表。</w:t>
      </w: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jc w:val="left"/>
        <w:rPr>
          <w:rFonts w:hint="eastAsia"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天津市公安局交通警察总队科技和设施保障支队2023年度收入、支出决算总计</w:t>
      </w:r>
      <w:r>
        <w:rPr>
          <w:rFonts w:hint="eastAsia" w:ascii="Times New Roman" w:hAnsi="Times New Roman" w:eastAsia="仿宋_GB2312" w:cs="仿宋_GB2312"/>
          <w:sz w:val="30"/>
          <w:szCs w:val="30"/>
        </w:rPr>
        <w:t>218,308,481.73元，与2022年度相比，收、支总计各增加86,110,418.14元，增长65.14%，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：本年新增项目，按照项目合同约定申请项目资金，保障本单位必要支出的需求。</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天津市公安局交通警察总队科技和设施保障支队</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218,085,758.17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年度相比增加86,495,771.16元，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：本年新增项目，按照项目合同约定申请项目资金，保障本单位必要支出的需求。</w:t>
      </w:r>
    </w:p>
    <w:p>
      <w:pPr>
        <w:autoSpaceDE w:val="0"/>
        <w:autoSpaceDN w:val="0"/>
        <w:adjustRightInd w:val="0"/>
        <w:spacing w:line="600" w:lineRule="exact"/>
        <w:ind w:firstLine="600"/>
        <w:jc w:val="both"/>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218,084,905.36</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both"/>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852.81元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天津市公安局交通警察总队科技和设施保障支队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年度本年支出合计218,085,809.69元，与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年度相比增加86,110,469.66元，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本年新增项目，按照项目合同约定申请项目资金，保障本单位必要支出的需求。</w:t>
      </w:r>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21,061,237.47元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占9.66%；</w:t>
      </w:r>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197,024,572.22元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占90.34%。</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天津市公安局交通警察总队科技和设施保障支队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218,084,905.36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年度相比，财政拨款收、支总计各增加86,110,514.33元，增长65.25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本年新增项目，按照项目合同约定申请项目资金，保障本单位必要支出的需求。</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both"/>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天津市公安局交通警察总队科技和设施保障支队2023年度部门决算一般公共预算财政拨款支出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计218,084,905.36元，占本年支出合计的100.0%，与2022年度相比，一般公共预算财政拨款支出增加86,110,514.33元，增长65.25%，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：本年新增项目，按照项目合同约定申请项目资金，保障本单位必要支出的需求。</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218,084,905.36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公共安全支出179,774,688.36元，占82.42%；社会保障和就业支出1,801,000元，占0.83%；卫生健康支出906,000元，占0.42%；债务付息支出35,603,217元，占16.33%。</w:t>
      </w:r>
    </w:p>
    <w:p>
      <w:pPr>
        <w:autoSpaceDE w:val="0"/>
        <w:autoSpaceDN w:val="0"/>
        <w:adjustRightInd w:val="0"/>
        <w:spacing w:line="600" w:lineRule="exact"/>
        <w:ind w:left="480"/>
        <w:jc w:val="both"/>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103,073,217.00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218,084,905.36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211.58%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jc w:val="both"/>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1.公共安全支出（类）公安（款）行政运行（项）年初预算为18,473,000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元，支出决算为18,353,333.14元，完成年初预算的99.35%，决算数小于年初预算数的主要原因是本年新增退休人员，在职人员减少，经费减少。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公共安全支出（类）公安（款）其他公安支出（项）年初预算为46,000,000元，支出决算为161,422,208.03元，完成年初预算的350.92%，决算数大于年初预算数的主要原因是本年新增项目，按照项目合同约定申请项目资金，保障本单位必要支出的需求。</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社会保障和就业支出（类）行政事业单位养老支出（款）机关事业单位基本养老保险缴费支出（项）年初预算为1,314,000元，支出决算为1,194,000元，完成年初预算的90.87%，决算数小于年初预算数的主要原因本年新增退休人员，在职人员减少，经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社会保障和就业支出（类）行政事业单位养老支出（款）机关事业单位职业年金缴费支出（项）年初预算为657,000元，支出决算为607,000元，完成年初预算的92.93%，决算数小于年初预算数的主要原因本年新增退休人员，在职人员减少，经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卫生健康支出（类）行政事业单位医疗（款）行政单位医疗（项）年初预算为862,000元，支出决算为752,000元，完成年初预算的87.24%，决算数小于年初预算数的主要原因本年新增退休人员，在职人员减少，经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卫生健康支出（类）行政事业单位医疗（款）公务员医疗补助（项）年初预算为164,000元，支出决算为154,000元，完成年初预算的93.9%，决算数小于年初预算数的主要原因本年新增退休人员，在职人员减少，经费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7.债务付息支出（类）地方政府一般债务付息支出（款）地方政府一般债券付息支出（项）年初预算为35,603,217元，支出决算为35,429,217元，完成年初预算的100%。</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天津市公安局交通警察总队科技和设施保障支队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21,060,333.14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年度相比减少685,261.53元，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本年新增退休人员，在职人员减少，经费减少。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both"/>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17,693,333.14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其他对个人和家庭的补助。</w:t>
      </w:r>
    </w:p>
    <w:p>
      <w:pPr>
        <w:autoSpaceDE w:val="0"/>
        <w:autoSpaceDN w:val="0"/>
        <w:adjustRightInd w:val="0"/>
        <w:spacing w:line="600" w:lineRule="exact"/>
        <w:ind w:firstLine="720"/>
        <w:jc w:val="both"/>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3,367,000.00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办公费、电费、邮电费、取暖费、物业管理费、差旅费、维修（护）费、租赁费、培训费、工会经费、福利费、公务用车运行维护费、其他交通费用、其他商品和服务支出、办公设备购置、专用设备购置等。</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both"/>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天津市公安局交通警察总队科技和设施保障支队2023年度无政府性基金预算财政拨款收入、支出和结转结余。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天津市公安局交通警察总队科技和设施保障支队2023年度无国有资本经营预算财政拨款收入、支出和结转结余。</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both"/>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0.45元，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严格按照年初预算数执行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工作业务量增加，增加巡查频次，公务用车运行维护较上一年增加。</w:t>
      </w:r>
    </w:p>
    <w:p>
      <w:pPr>
        <w:autoSpaceDE w:val="0"/>
        <w:autoSpaceDN w:val="0"/>
        <w:adjustRightInd w:val="0"/>
        <w:spacing w:line="600" w:lineRule="exact"/>
        <w:ind w:firstLine="602"/>
        <w:jc w:val="both"/>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0.45元，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严格按照年初预算执行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工作业务量增加，增加巡查频次，公务用车运行维护较上一年增加。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0.45元，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严格按照年初预算执行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工作业务量增加，增加巡查频次，公务用车运行维护较上一年增加。</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14</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both"/>
        <w:rPr>
          <w:rFonts w:hint="eastAsia"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both"/>
        <w:rPr>
          <w:rFonts w:hint="eastAsia" w:ascii="Times New Roman" w:hAnsi="Times New Roman" w:eastAsia="仿宋_GB2312" w:cs="仿宋_GB2312"/>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天津市公安局交通警察总队科技和设施保障支队</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3,367,000.00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年减少633,577.60元，降低15.84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新增退休人员，在职人员减少，经费减少。</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天津市公安局交通警察总队科技和设施保障支队</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55,793,205.32</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172,500.00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55,620,705.32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55,703,205.32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99.84%</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32,264,581.48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57.83%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99.84</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both"/>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日，天津市公安局交通警察总队科技和设施保障支队共有车辆</w:t>
      </w:r>
      <w:r>
        <w:rPr>
          <w:rFonts w:hint="eastAsia" w:ascii="Times New Roman" w:hAnsi="Times New Roman" w:eastAsia="仿宋_GB2312" w:cs="Times New Roman"/>
          <w:kern w:val="0"/>
          <w:sz w:val="30"/>
          <w:szCs w:val="30"/>
        </w:rPr>
        <w:t>14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9</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5</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安全设施特种行业专业用车。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根据预算绩效管理要求，天津市公安局交通警察总队科技和设施保障支队2023年度已对16个市级项目开展绩效自评，涉及金额</w:t>
      </w:r>
      <w:r>
        <w:rPr>
          <w:rFonts w:hint="eastAsia" w:ascii="Times New Roman" w:hAnsi="Times New Roman" w:eastAsia="仿宋_GB2312" w:cs="仿宋_GB2312"/>
          <w:sz w:val="30"/>
          <w:szCs w:val="30"/>
          <w:lang w:val="en-US" w:eastAsia="zh-CN"/>
        </w:rPr>
        <w:t>223,072,</w:t>
      </w:r>
      <w:bookmarkStart w:id="0" w:name="_GoBack"/>
      <w:bookmarkEnd w:id="0"/>
      <w:r>
        <w:rPr>
          <w:rFonts w:hint="eastAsia" w:ascii="Times New Roman" w:hAnsi="Times New Roman" w:eastAsia="仿宋_GB2312" w:cs="仿宋_GB2312"/>
          <w:sz w:val="30"/>
          <w:szCs w:val="30"/>
          <w:lang w:val="en-US" w:eastAsia="zh-CN"/>
        </w:rPr>
        <w:t>317</w:t>
      </w:r>
      <w:r>
        <w:rPr>
          <w:rFonts w:hint="eastAsia" w:ascii="Times New Roman" w:hAnsi="Times New Roman" w:eastAsia="仿宋_GB2312" w:cs="仿宋_GB2312"/>
          <w:sz w:val="30"/>
          <w:szCs w:val="30"/>
        </w:rPr>
        <w:t>元，自评结果已随部门决算一并公开。</w:t>
      </w:r>
    </w:p>
    <w:p>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天津市公安局交通警察总队科技和设施保障支队不属于乡、镇、街级单位，不涉及公开2022年度教育、医疗卫生、社会保障和就业、住房保障、涉农补贴等民生支出情况。</w:t>
      </w:r>
    </w:p>
    <w:p>
      <w:pPr>
        <w:autoSpaceDE w:val="0"/>
        <w:autoSpaceDN w:val="0"/>
        <w:adjustRightInd w:val="0"/>
        <w:jc w:val="both"/>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both"/>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  名词解释</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both"/>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47A8A"/>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439"/>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9326E"/>
    <w:rsid w:val="00D4505A"/>
    <w:rsid w:val="00D65B41"/>
    <w:rsid w:val="00DC3234"/>
    <w:rsid w:val="00DC3CD0"/>
    <w:rsid w:val="00DD60B5"/>
    <w:rsid w:val="00DE5E0D"/>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4300D3"/>
    <w:rsid w:val="21556D90"/>
    <w:rsid w:val="21C24E94"/>
    <w:rsid w:val="21D73FEC"/>
    <w:rsid w:val="23736675"/>
    <w:rsid w:val="24B227A0"/>
    <w:rsid w:val="25BA7C7E"/>
    <w:rsid w:val="2666570F"/>
    <w:rsid w:val="26DB4B05"/>
    <w:rsid w:val="271B299E"/>
    <w:rsid w:val="27DD7C53"/>
    <w:rsid w:val="284E3F62"/>
    <w:rsid w:val="28612632"/>
    <w:rsid w:val="2A924D25"/>
    <w:rsid w:val="2B4B6CB1"/>
    <w:rsid w:val="2BC20F83"/>
    <w:rsid w:val="2C800474"/>
    <w:rsid w:val="2C8F0671"/>
    <w:rsid w:val="2D0429B4"/>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0F101F"/>
    <w:rsid w:val="6C1D5E3D"/>
    <w:rsid w:val="6CF70A69"/>
    <w:rsid w:val="6CFE17CB"/>
    <w:rsid w:val="6D5E0469"/>
    <w:rsid w:val="6D854C1A"/>
    <w:rsid w:val="6E080CF4"/>
    <w:rsid w:val="6EB34837"/>
    <w:rsid w:val="70180DF5"/>
    <w:rsid w:val="703F2496"/>
    <w:rsid w:val="704716DB"/>
    <w:rsid w:val="708C6A78"/>
    <w:rsid w:val="70E84C6C"/>
    <w:rsid w:val="70FE35D3"/>
    <w:rsid w:val="71600CA6"/>
    <w:rsid w:val="7260119C"/>
    <w:rsid w:val="72701CEB"/>
    <w:rsid w:val="72B3615B"/>
    <w:rsid w:val="73724CC1"/>
    <w:rsid w:val="7455465F"/>
    <w:rsid w:val="75331C62"/>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858</Words>
  <Characters>4892</Characters>
  <Lines>40</Lines>
  <Paragraphs>11</Paragraphs>
  <TotalTime>100</TotalTime>
  <ScaleCrop>false</ScaleCrop>
  <LinksUpToDate>false</LinksUpToDate>
  <CharactersWithSpaces>5739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王颖</cp:lastModifiedBy>
  <dcterms:modified xsi:type="dcterms:W3CDTF">2024-08-27T07:54:58Z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A44E0A178634409BBBA50D5636087390_13</vt:lpwstr>
  </property>
</Properties>
</file>