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天津市刑事科学技术研究所</w:t>
      </w: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w w:val="95"/>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2024年度部门决算</w:t>
      </w: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sectPr>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ageBreakBefore w:val="0"/>
        <w:kinsoku/>
        <w:wordWrap/>
        <w:overflowPunct/>
        <w:topLinePunct w:val="0"/>
        <w:autoSpaceDE/>
        <w:autoSpaceDN/>
        <w:bidi w:val="0"/>
        <w:snapToGrid/>
        <w:spacing w:line="600" w:lineRule="exact"/>
        <w:jc w:val="center"/>
        <w:rPr>
          <w:lang w:val="en-US" w:eastAsia="zh-CN"/>
        </w:rPr>
      </w:pPr>
      <w:r>
        <w:rPr>
          <w:rFonts w:ascii="黑体" w:eastAsia="黑体" w:hint="eastAsia"/>
          <w:sz w:val="44"/>
          <w:szCs w:val="44"/>
          <w:highlight w:val="none"/>
          <w:u w:val="none"/>
          <w:lang w:val="en-US" w:eastAsia="zh-CN"/>
        </w:rPr>
        <w:t xml:space="preserve">目录</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第一部分  概 况</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一、主要职责</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二、机构设置</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第二部分  2024年度部门决算表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二、《收入决算表（按功能分类列示）》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三、《收入决算表（按单位列示）》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五、《财政拨款收入支出决算总表》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七、《一般公共预算财政拨款基本支出决算表》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八、《政府性基金预算财政拨款收入支出决算表》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九、《国有资本经营预算财政拨款收入支出决算表》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十、《财政拨款“三公”经费支出决算表》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十一、《项目支出决算表》</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第三部分 2024年度部门决算情况说明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四、财政拨款收支决算总体情况说明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五、一般公共预算财政拨款支出决算情况说明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六、一般公共预算财政拨款基本支出决算情况说明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七、政府性基金预算财政拨款收支决算情况说明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八、国有资本经营预算财政拨款收支决算情况说明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九、财政拨款“三公”经费支出决算情况说明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十、机关运行经费支出情况说明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十一、政府采购支出情况说明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十二、国有资产占有使用情况说明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十三、预算绩效情况说明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十四、教育、医疗卫生、社会保障和就业、住房保障、涉农补贴等民生支出情况说明</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ascii="Times New Roman" w:eastAsia="仿宋" w:hAnsi="Times New Roman" w:cs="Times New Roman" w:hint="eastAsia"/>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w:type="default" r:id="rId22"/>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403062085"/>
      <w:bookmarkStart w:id="1" w:name="_Toc1214908849"/>
      <w:bookmarkStart w:id="2" w:name="_Toc1198055373"/>
      <w:bookmarkStart w:id="3" w:name="_Toc1358716097"/>
      <w:r>
        <w:rPr>
          <w:rFonts w:ascii="方正小标宋简体" w:eastAsia="方正小标宋简体" w:hAnsi="方正小标宋简体" w:cs="方正小标宋简体" w:hint="eastAsia"/>
          <w:b w:val="0"/>
          <w:sz w:val="44"/>
          <w:szCs w:val="44"/>
          <w:highlight w:val="none"/>
          <w:u w:val="none"/>
          <w:lang w:val="en-US" w:eastAsia="zh-CN"/>
        </w:rPr>
        <w:t xml:space="preserve">第一部分  概 况</w:t>
      </w:r>
      <w:bookmarkEnd w:id="0"/>
      <w:bookmarkEnd w:id="1"/>
      <w:bookmarkEnd w:id="2"/>
      <w:bookmarkEnd w:id="3"/>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 w:name="_Toc1747823728"/>
      <w:bookmarkStart w:id="5" w:name="_Toc698509467"/>
      <w:bookmarkStart w:id="6" w:name="_Toc1101039957"/>
      <w:bookmarkStart w:id="7" w:name="_Toc909979739"/>
      <w:r>
        <w:rPr>
          <w:rFonts w:ascii="黑体" w:eastAsia="黑体" w:hAnsi="黑体" w:cs="Times New Roman" w:hint="eastAsia"/>
          <w:sz w:val="30"/>
          <w:szCs w:val="30"/>
          <w:highlight w:val="none"/>
          <w:u w:val="none"/>
          <w:lang w:val="en-US" w:eastAsia="zh-CN"/>
        </w:rPr>
        <w:t xml:space="preserve">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天津市刑事科学技术研究所</w:t>
      </w:r>
      <w:r>
        <w:rPr>
          <w:rFonts w:ascii="仿宋_GB2312" w:eastAsia="仿宋_GB2312" w:hint="eastAsia"/>
          <w:sz w:val="30"/>
          <w:szCs w:val="30"/>
          <w:highlight w:val="none"/>
          <w:u w:val="none"/>
          <w:lang w:val="en-US" w:eastAsia="zh-CN"/>
        </w:rPr>
        <w:t xml:space="preserve">的主要职责是：</w:t>
      </w:r>
      <w:r>
        <w:rPr>
          <w:rFonts w:ascii="仿宋_GB2312" w:eastAsia="仿宋_GB2312" w:hint="eastAsia"/>
          <w:sz w:val="30"/>
          <w:szCs w:val="30"/>
          <w:highlight w:val="none"/>
          <w:u w:val="none"/>
          <w:lang w:val="en-US" w:eastAsia="zh-CN"/>
        </w:rPr>
        <w:t xml:space="preserve">天津市刑事科学技术研究所为天津市公安局刑事侦查总队下属十三支队。十三支队（天津市公安局物证鉴定中心、天津市刑事科学技术研究所），负责刑事科学技术的发展规划和管理；刑事科学技术课题的研究、开发及新技术的推广应用；有关案（事）件现场勘验、检查和检验鉴定；为分局侦办的疑难案件提供技术专家支持；受理全市各级政法机关、行政执法机关、仲裁机构、军队保卫部门等送检物证的检验鉴定；全市刑事技术工作的指导、考核及培训</w:t>
      </w:r>
      <w:r>
        <w:rPr>
          <w:rFonts w:ascii="仿宋_GB2312"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8" w:name="_Toc1702997367"/>
      <w:bookmarkStart w:id="9" w:name="_Toc244589183"/>
      <w:bookmarkStart w:id="10" w:name="_Toc311971100"/>
      <w:bookmarkStart w:id="11" w:name="_Toc1798423086"/>
      <w:r>
        <w:rPr>
          <w:rFonts w:ascii="黑体" w:eastAsia="黑体" w:hAnsi="黑体" w:cs="Times New Roman" w:hint="eastAsia"/>
          <w:sz w:val="30"/>
          <w:szCs w:val="30"/>
          <w:highlight w:val="none"/>
          <w:u w:val="none"/>
          <w:lang w:val="en-US" w:eastAsia="zh-CN"/>
        </w:rPr>
        <w:t xml:space="preserve">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天津市刑事科学技术研究所无内设职能处室</w:t>
      </w:r>
      <w:r>
        <w:rPr>
          <w:rFonts w:ascii="仿宋_GB2312" w:eastAsia="仿宋_GB2312" w:hint="eastAsia"/>
          <w:sz w:val="30"/>
          <w:szCs w:val="30"/>
          <w:highlight w:val="none"/>
          <w:u w:val="none"/>
          <w:lang w:val="en-US" w:eastAsia="zh-CN"/>
        </w:rPr>
        <w:t xml:space="preserve">；纳入</w:t>
      </w:r>
      <w:r>
        <w:rPr>
          <w:rFonts w:ascii="仿宋_GB2312" w:eastAsia="仿宋_GB2312" w:hint="eastAsia"/>
          <w:sz w:val="30"/>
          <w:szCs w:val="30"/>
          <w:highlight w:val="none"/>
          <w:u w:val="none"/>
          <w:lang w:val="en-US" w:eastAsia="zh-CN"/>
        </w:rPr>
        <w:t xml:space="preserve">天津市刑事科学技术研究所</w:t>
      </w:r>
      <w:r>
        <w:rPr>
          <w:rFonts w:ascii="仿宋_GB2312" w:eastAsia="仿宋_GB2312" w:hint="eastAsia"/>
          <w:sz w:val="30"/>
          <w:szCs w:val="30"/>
          <w:highlight w:val="none"/>
          <w:u w:val="none"/>
          <w:lang w:val="en-US" w:eastAsia="zh-CN"/>
        </w:rPr>
        <w:t xml:space="preserve">2024年度部门决算编制范围的单位包括：</w:t>
      </w:r>
    </w:p>
    <w:p>
      <w:pPr>
        <w:pageBreakBefore w:val="0"/>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天津市刑事科学技术研究所。</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1290695373"/>
      <w:bookmarkStart w:id="14" w:name="_Toc264474877"/>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Heading1"/>
        <w:pageBreakBefore w:val="0"/>
        <w:kinsoku/>
        <w:wordWrap/>
        <w:overflowPunct/>
        <w:topLinePunct w:val="0"/>
        <w:autoSpaceDE/>
        <w:autoSpaceDN/>
        <w:bidi w:val="0"/>
        <w:snapToGrid/>
        <w:spacing w:before="0" w:after="0" w:line="600" w:lineRule="exact"/>
        <w:jc w:val="center"/>
        <w:outlineLvl w:val="0"/>
        <w:rPr>
          <w:rFonts w:ascii="方正小标宋简体" w:eastAsia="方正小标宋简体" w:hAnsi="方正小标宋简体" w:cs="方正小标宋简体" w:hint="eastAsia"/>
          <w:b w:val="0"/>
          <w:bCs w:val="0"/>
          <w:sz w:val="44"/>
          <w:szCs w:val="44"/>
          <w:highlight w:val="none"/>
          <w:u w:val="none"/>
          <w:lang w:val="en-US" w:eastAsia="zh-CN"/>
        </w:rPr>
      </w:pPr>
      <w:bookmarkStart w:id="15" w:name="_Toc614699953"/>
      <w:r>
        <w:rPr>
          <w:rFonts w:ascii="方正小标宋简体" w:eastAsia="方正小标宋简体" w:hAnsi="方正小标宋简体" w:cs="方正小标宋简体" w:hint="eastAsia"/>
          <w:b w:val="0"/>
          <w:bCs w:val="0"/>
          <w:sz w:val="44"/>
          <w:szCs w:val="44"/>
          <w:highlight w:val="none"/>
          <w:u w:val="none"/>
          <w:lang w:val="en-US" w:eastAsia="zh-CN"/>
        </w:rPr>
        <w:t xml:space="preserve">第二部分  2024年度部门决算表</w:t>
      </w:r>
      <w:bookmarkStart w:id="16" w:name="_Toc1675239290"/>
      <w:bookmarkEnd w:id="12"/>
      <w:bookmarkEnd w:id="13"/>
      <w:bookmarkEnd w:id="14"/>
      <w:bookmarkEnd w:id="15"/>
      <w:bookmarkEnd w:id="16"/>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Heading2"/>
        <w:pageBreakBefore w:val="0"/>
        <w:kinsoku/>
        <w:wordWrap/>
        <w:overflowPunct/>
        <w:topLinePunct w:val="0"/>
        <w:autoSpaceDE/>
        <w:autoSpaceDN/>
        <w:bidi w:val="0"/>
        <w:snapToGrid/>
        <w:spacing w:before="0" w:after="0" w:line="800" w:lineRule="exact"/>
        <w:ind w:firstLine="600" w:firstLineChars="200"/>
        <w:outlineLvl w:val="9"/>
        <w:rPr>
          <w:rFonts w:ascii="黑体" w:eastAsia="黑体" w:hAnsi="黑体" w:hint="eastAsia"/>
          <w:b w:val="0"/>
          <w:sz w:val="30"/>
          <w:szCs w:val="30"/>
          <w:highlight w:val="none"/>
          <w:u w:val="none"/>
          <w:lang w:val="en-US" w:eastAsia="zh-CN"/>
        </w:rPr>
        <w:sectPr>
          <w:footerReference w:type="default" r:id="rId23"/>
          <w:pgSz w:w="11906" w:h="16838" w:orient="portrait"/>
          <w:pgMar w:top="1440" w:right="1800" w:bottom="1440" w:left="1800" w:header="851" w:footer="992" w:gutter="0"/>
          <w:pgBorders/>
          <w:pgNumType w:fmt="decimal" w:start="1"/>
          <w:cols w:num="1" w:space="720">
            <w:col w:w="8306" w:space="720"/>
          </w:cols>
          <w:docGrid w:type="lines" w:linePitch="312" w:charSpace="0"/>
        </w:sectPr>
      </w:pPr>
      <w:bookmarkStart w:id="17" w:name="_Toc1885592096"/>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18" w:name="_Toc984815664"/>
      <w:bookmarkStart w:id="19" w:name="_Toc291121727"/>
      <w:bookmarkStart w:id="20" w:name="_Toc1865768001"/>
      <w:r>
        <w:rPr>
          <w:rFonts w:ascii="黑体" w:eastAsia="黑体" w:hAnsi="黑体" w:hint="eastAsia"/>
          <w:sz w:val="30"/>
          <w:szCs w:val="30"/>
          <w:highlight w:val="none"/>
          <w:u w:val="none"/>
          <w:lang w:val="en-US" w:eastAsia="zh-CN"/>
        </w:rPr>
        <w:t xml:space="preserve">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单位：天津市刑事科学技术研究所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2,962,745.52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5,074.88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5,074.88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2,962,745.52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2,957,670.64</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2,962,745.52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2,962,745.52</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1" w:name="_Toc406579313"/>
      <w:r>
        <w:rPr>
          <w:rFonts w:ascii="黑体" w:eastAsia="黑体" w:hAnsi="黑体" w:cs="Times New Roman" w:hint="eastAsia"/>
          <w:sz w:val="30"/>
          <w:szCs w:val="30"/>
          <w:highlight w:val="none"/>
          <w:u w:val="none"/>
          <w:lang w:val="en-US" w:eastAsia="zh-CN"/>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单位：天津市刑事科学技术研究所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5,074.88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5,074.88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5,074.88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5,074.88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20402</w:t>
            </w:r>
          </w:p>
        </w:tc>
        <w:tc>
          <w:tcPr>
            <w:tcW w:w="2520" w:type="dxa"/>
            <w:tcBorders/>
            <w:vAlign w:val="center"/>
          </w:tcPr>
          <w:p>
            <w:pPr>
              <w:snapToGrid w:val="0"/>
              <w:jc w:val="left"/>
            </w:pPr>
            <w:r>
              <w:rPr>
                <w:rFonts w:ascii="宋体" w:eastAsia="宋体" w:hAnsi="宋体" w:cs="宋体"/>
                <w:b w:val="0"/>
                <w:i w:val="0"/>
                <w:color w:val="000000"/>
                <w:sz w:val="14"/>
              </w:rPr>
              <w:t xml:space="preserve">公安</w:t>
            </w:r>
          </w:p>
        </w:tc>
        <w:tc>
          <w:tcPr>
            <w:tcW w:w="1240" w:type="dxa"/>
            <w:tcBorders/>
            <w:vAlign w:val="center"/>
          </w:tcPr>
          <w:p>
            <w:pPr>
              <w:snapToGrid w:val="0"/>
              <w:jc w:val="right"/>
            </w:pPr>
            <w:r>
              <w:rPr>
                <w:rFonts w:ascii="宋体" w:eastAsia="宋体" w:hAnsi="宋体" w:cs="宋体"/>
                <w:b w:val="0"/>
                <w:i w:val="0"/>
                <w:color w:val="000000"/>
                <w:sz w:val="14"/>
              </w:rPr>
              <w:t xml:space="preserve">5,074.88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5,074.88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2040299</w:t>
            </w:r>
          </w:p>
        </w:tc>
        <w:tc>
          <w:tcPr>
            <w:tcW w:w="2520" w:type="dxa"/>
            <w:tcBorders/>
            <w:vAlign w:val="center"/>
          </w:tcPr>
          <w:p>
            <w:pPr>
              <w:snapToGrid w:val="0"/>
              <w:jc w:val="left"/>
            </w:pPr>
            <w:r>
              <w:rPr>
                <w:rFonts w:ascii="宋体" w:eastAsia="宋体" w:hAnsi="宋体" w:cs="宋体"/>
                <w:b w:val="0"/>
                <w:i w:val="0"/>
                <w:color w:val="000000"/>
                <w:sz w:val="14"/>
              </w:rPr>
              <w:t xml:space="preserve">其他公安支出</w:t>
            </w:r>
          </w:p>
        </w:tc>
        <w:tc>
          <w:tcPr>
            <w:tcW w:w="1240" w:type="dxa"/>
            <w:tcBorders/>
            <w:vAlign w:val="center"/>
          </w:tcPr>
          <w:p>
            <w:pPr>
              <w:snapToGrid w:val="0"/>
              <w:jc w:val="right"/>
            </w:pPr>
            <w:r>
              <w:rPr>
                <w:rFonts w:ascii="宋体" w:eastAsia="宋体" w:hAnsi="宋体" w:cs="宋体"/>
                <w:b w:val="0"/>
                <w:i w:val="0"/>
                <w:color w:val="000000"/>
                <w:sz w:val="14"/>
              </w:rPr>
              <w:t xml:space="preserve">5,074.88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5,074.88</w:t>
            </w: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2" w:name="_Toc85548837"/>
      <w:r>
        <w:rPr>
          <w:rFonts w:ascii="黑体" w:eastAsia="黑体" w:hAnsi="黑体" w:cs="Times New Roman" w:hint="eastAsia"/>
          <w:sz w:val="30"/>
          <w:szCs w:val="30"/>
          <w:highlight w:val="none"/>
          <w:u w:val="none"/>
          <w:lang w:val="en-US" w:eastAsia="zh-CN"/>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单位：天津市刑事科学技术研究所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2,962,745.52</w:t>
            </w:r>
          </w:p>
        </w:tc>
        <w:tc>
          <w:tcPr>
            <w:tcW w:w="580" w:type="dxa"/>
            <w:tcBorders/>
            <w:vAlign w:val="center"/>
          </w:tcPr>
          <w:p>
            <w:pPr>
              <w:snapToGrid w:val="0"/>
              <w:jc w:val="right"/>
            </w:pPr>
            <w:r>
              <w:rPr>
                <w:rFonts w:ascii="宋体" w:eastAsia="宋体" w:hAnsi="宋体" w:cs="宋体"/>
                <w:b w:val="0"/>
                <w:i w:val="0"/>
                <w:color w:val="000000"/>
                <w:sz w:val="9"/>
              </w:rPr>
              <w:t xml:space="preserve">5,074.88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5,074.88</w:t>
            </w:r>
          </w:p>
        </w:tc>
        <w:tc>
          <w:tcPr>
            <w:tcW w:w="580" w:type="dxa"/>
            <w:tcBorders/>
            <w:vAlign w:val="center"/>
          </w:tcPr>
          <w:p>
            <w:pPr>
              <w:snapToGrid w:val="0"/>
              <w:jc w:val="right"/>
            </w:pPr>
            <w:r>
              <w:rPr>
                <w:rFonts w:ascii="宋体" w:eastAsia="宋体" w:hAnsi="宋体" w:cs="宋体"/>
                <w:b w:val="0"/>
                <w:i w:val="0"/>
                <w:color w:val="000000"/>
                <w:sz w:val="9"/>
              </w:rPr>
              <w:t xml:space="preserve">2,957,670.64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2,957,670.64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2,957,670.64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341301</w:t>
            </w:r>
          </w:p>
        </w:tc>
        <w:tc>
          <w:tcPr>
            <w:tcW w:w="1520" w:type="dxa"/>
            <w:tcBorders/>
            <w:vAlign w:val="center"/>
          </w:tcPr>
          <w:p>
            <w:pPr>
              <w:snapToGrid w:val="0"/>
              <w:jc w:val="center"/>
            </w:pPr>
            <w:r>
              <w:rPr>
                <w:rFonts w:ascii="宋体" w:eastAsia="宋体" w:hAnsi="宋体" w:cs="宋体"/>
                <w:b w:val="0"/>
                <w:i w:val="0"/>
                <w:color w:val="000000"/>
                <w:sz w:val="9"/>
              </w:rPr>
              <w:t xml:space="preserve">天津市刑事科学技术研究所</w:t>
            </w:r>
          </w:p>
        </w:tc>
        <w:tc>
          <w:tcPr>
            <w:tcW w:w="580" w:type="dxa"/>
            <w:tcBorders/>
            <w:vAlign w:val="center"/>
          </w:tcPr>
          <w:p>
            <w:pPr>
              <w:snapToGrid w:val="0"/>
              <w:jc w:val="right"/>
            </w:pPr>
            <w:r>
              <w:rPr>
                <w:rFonts w:ascii="宋体" w:eastAsia="宋体" w:hAnsi="宋体" w:cs="宋体"/>
                <w:b w:val="0"/>
                <w:i w:val="0"/>
                <w:color w:val="000000"/>
                <w:sz w:val="9"/>
              </w:rPr>
              <w:t xml:space="preserve">2,962,745.52</w:t>
            </w:r>
          </w:p>
        </w:tc>
        <w:tc>
          <w:tcPr>
            <w:tcW w:w="580" w:type="dxa"/>
            <w:tcBorders/>
            <w:vAlign w:val="center"/>
          </w:tcPr>
          <w:p>
            <w:pPr>
              <w:snapToGrid w:val="0"/>
              <w:jc w:val="right"/>
            </w:pPr>
            <w:r>
              <w:rPr>
                <w:rFonts w:ascii="宋体" w:eastAsia="宋体" w:hAnsi="宋体" w:cs="宋体"/>
                <w:b w:val="0"/>
                <w:i w:val="0"/>
                <w:color w:val="000000"/>
                <w:sz w:val="9"/>
              </w:rPr>
              <w:t xml:space="preserve">5,074.88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5,074.88</w:t>
            </w:r>
          </w:p>
        </w:tc>
        <w:tc>
          <w:tcPr>
            <w:tcW w:w="580" w:type="dxa"/>
            <w:tcBorders/>
            <w:vAlign w:val="center"/>
          </w:tcPr>
          <w:p>
            <w:pPr>
              <w:snapToGrid w:val="0"/>
              <w:jc w:val="right"/>
            </w:pPr>
            <w:r>
              <w:rPr>
                <w:rFonts w:ascii="宋体" w:eastAsia="宋体" w:hAnsi="宋体" w:cs="宋体"/>
                <w:b w:val="0"/>
                <w:i w:val="0"/>
                <w:color w:val="000000"/>
                <w:sz w:val="9"/>
              </w:rPr>
              <w:t xml:space="preserve">2,957,670.64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2,957,670.64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2,957,670.64</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3" w:name="_Toc1152743616"/>
      <w:r>
        <w:rPr>
          <w:rFonts w:ascii="黑体" w:eastAsia="黑体" w:hAnsi="黑体" w:cs="Times New Roman" w:hint="eastAsia"/>
          <w:sz w:val="30"/>
          <w:szCs w:val="30"/>
          <w:highlight w:val="none"/>
          <w:u w:val="none"/>
          <w:lang w:val="en-US" w:eastAsia="zh-CN"/>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单位：天津市刑事科学技术研究所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2,962,745.52</w:t>
            </w:r>
          </w:p>
        </w:tc>
        <w:tc>
          <w:tcPr>
            <w:tcW w:w="1320" w:type="dxa"/>
            <w:tcBorders/>
            <w:vAlign w:val="center"/>
          </w:tcPr>
          <w:p>
            <w:pPr>
              <w:snapToGrid w:val="0"/>
              <w:jc w:val="right"/>
            </w:pPr>
            <w:r>
              <w:rPr>
                <w:rFonts w:ascii="宋体" w:eastAsia="宋体" w:hAnsi="宋体" w:cs="宋体"/>
                <w:b w:val="0"/>
                <w:i w:val="0"/>
                <w:color w:val="000000"/>
                <w:sz w:val="15"/>
              </w:rPr>
              <w:t xml:space="preserve">2,962,745.52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2,962,745.52</w:t>
            </w:r>
          </w:p>
        </w:tc>
        <w:tc>
          <w:tcPr>
            <w:tcW w:w="1320" w:type="dxa"/>
            <w:tcBorders/>
            <w:vAlign w:val="center"/>
          </w:tcPr>
          <w:p>
            <w:pPr>
              <w:snapToGrid w:val="0"/>
              <w:jc w:val="right"/>
            </w:pPr>
            <w:r>
              <w:rPr>
                <w:rFonts w:ascii="宋体" w:eastAsia="宋体" w:hAnsi="宋体" w:cs="宋体"/>
                <w:b w:val="0"/>
                <w:i w:val="0"/>
                <w:color w:val="000000"/>
                <w:sz w:val="15"/>
              </w:rPr>
              <w:t xml:space="preserve">2,962,745.52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20402</w:t>
            </w:r>
          </w:p>
        </w:tc>
        <w:tc>
          <w:tcPr>
            <w:tcW w:w="4400" w:type="dxa"/>
            <w:tcBorders/>
            <w:vAlign w:val="center"/>
          </w:tcPr>
          <w:p>
            <w:pPr>
              <w:snapToGrid w:val="0"/>
              <w:jc w:val="left"/>
            </w:pPr>
            <w:r>
              <w:rPr>
                <w:rFonts w:ascii="宋体" w:eastAsia="宋体" w:hAnsi="宋体" w:cs="宋体"/>
                <w:b w:val="0"/>
                <w:i w:val="0"/>
                <w:color w:val="000000"/>
                <w:sz w:val="15"/>
              </w:rPr>
              <w:t xml:space="preserve">公安</w:t>
            </w:r>
          </w:p>
        </w:tc>
        <w:tc>
          <w:tcPr>
            <w:tcW w:w="1320" w:type="dxa"/>
            <w:tcBorders/>
            <w:vAlign w:val="center"/>
          </w:tcPr>
          <w:p>
            <w:pPr>
              <w:snapToGrid w:val="0"/>
              <w:jc w:val="right"/>
            </w:pPr>
            <w:r>
              <w:rPr>
                <w:rFonts w:ascii="宋体" w:eastAsia="宋体" w:hAnsi="宋体" w:cs="宋体"/>
                <w:b w:val="0"/>
                <w:i w:val="0"/>
                <w:color w:val="000000"/>
                <w:sz w:val="15"/>
              </w:rPr>
              <w:t xml:space="preserve">2,962,745.52</w:t>
            </w:r>
          </w:p>
        </w:tc>
        <w:tc>
          <w:tcPr>
            <w:tcW w:w="1320" w:type="dxa"/>
            <w:tcBorders/>
            <w:vAlign w:val="center"/>
          </w:tcPr>
          <w:p>
            <w:pPr>
              <w:snapToGrid w:val="0"/>
              <w:jc w:val="right"/>
            </w:pPr>
            <w:r>
              <w:rPr>
                <w:rFonts w:ascii="宋体" w:eastAsia="宋体" w:hAnsi="宋体" w:cs="宋体"/>
                <w:b w:val="0"/>
                <w:i w:val="0"/>
                <w:color w:val="000000"/>
                <w:sz w:val="15"/>
              </w:rPr>
              <w:t xml:space="preserve">2,962,745.52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2040299</w:t>
            </w:r>
          </w:p>
        </w:tc>
        <w:tc>
          <w:tcPr>
            <w:tcW w:w="4400" w:type="dxa"/>
            <w:tcBorders/>
            <w:vAlign w:val="center"/>
          </w:tcPr>
          <w:p>
            <w:pPr>
              <w:snapToGrid w:val="0"/>
              <w:jc w:val="left"/>
            </w:pPr>
            <w:r>
              <w:rPr>
                <w:rFonts w:ascii="宋体" w:eastAsia="宋体" w:hAnsi="宋体" w:cs="宋体"/>
                <w:b w:val="0"/>
                <w:i w:val="0"/>
                <w:color w:val="000000"/>
                <w:sz w:val="15"/>
              </w:rPr>
              <w:t xml:space="preserve">其他公安支出</w:t>
            </w:r>
          </w:p>
        </w:tc>
        <w:tc>
          <w:tcPr>
            <w:tcW w:w="1320" w:type="dxa"/>
            <w:tcBorders/>
            <w:vAlign w:val="center"/>
          </w:tcPr>
          <w:p>
            <w:pPr>
              <w:snapToGrid w:val="0"/>
              <w:jc w:val="right"/>
            </w:pPr>
            <w:r>
              <w:rPr>
                <w:rFonts w:ascii="宋体" w:eastAsia="宋体" w:hAnsi="宋体" w:cs="宋体"/>
                <w:b w:val="0"/>
                <w:i w:val="0"/>
                <w:color w:val="000000"/>
                <w:sz w:val="15"/>
              </w:rPr>
              <w:t xml:space="preserve">2,962,745.52</w:t>
            </w:r>
          </w:p>
        </w:tc>
        <w:tc>
          <w:tcPr>
            <w:tcW w:w="1320" w:type="dxa"/>
            <w:tcBorders/>
            <w:vAlign w:val="center"/>
          </w:tcPr>
          <w:p>
            <w:pPr>
              <w:snapToGrid w:val="0"/>
              <w:jc w:val="right"/>
            </w:pPr>
            <w:r>
              <w:rPr>
                <w:rFonts w:ascii="宋体" w:eastAsia="宋体" w:hAnsi="宋体" w:cs="宋体"/>
                <w:b w:val="0"/>
                <w:i w:val="0"/>
                <w:color w:val="000000"/>
                <w:sz w:val="15"/>
              </w:rPr>
              <w:t xml:space="preserve">2,962,745.52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24" w:name="_Toc1711974525"/>
      <w:r>
        <w:rPr>
          <w:rFonts w:ascii="黑体" w:eastAsia="黑体" w:hAnsi="黑体" w:cs="Times New Roman" w:hint="eastAsia"/>
          <w:sz w:val="30"/>
          <w:szCs w:val="30"/>
          <w:highlight w:val="none"/>
          <w:u w:val="none"/>
          <w:lang w:val="en-US" w:eastAsia="zh-CN"/>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单位：天津市刑事科学技术研究所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天津市刑事科学技术研究所2024年度财政拨款收入支出决算总表为空表。</w:t>
      </w:r>
      <w:bookmarkStart w:id="25" w:name="_Toc1437764080"/>
      <w:bookmarkStart w:id="26" w:name="_Toc524951764"/>
      <w:bookmarkStart w:id="27" w:name="_Toc1872910203"/>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bCs w:val="0"/>
          <w:sz w:val="30"/>
          <w:szCs w:val="30"/>
          <w:highlight w:val="none"/>
          <w:u w:val="none"/>
          <w:lang w:val="en-US" w:eastAsia="zh-CN"/>
        </w:rPr>
      </w:pPr>
      <w:bookmarkStart w:id="28" w:name="_Toc1169939169"/>
      <w:r>
        <w:rPr>
          <w:rFonts w:ascii="黑体" w:eastAsia="黑体" w:hAnsi="黑体" w:cs="Times New Roman" w:hint="eastAsia"/>
          <w:sz w:val="30"/>
          <w:szCs w:val="30"/>
          <w:highlight w:val="none"/>
          <w:u w:val="none"/>
          <w:lang w:val="en-US" w:eastAsia="zh-CN"/>
        </w:rPr>
        <w:t xml:space="preserve">六、《一般公共预算财政拨款支出决算表》</w:t>
      </w:r>
      <w:bookmarkEnd w:id="25"/>
      <w:bookmarkEnd w:id="26"/>
      <w:bookmarkEnd w:id="27"/>
      <w:bookmarkEnd w:id="2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单位：天津市刑事科学技术研究所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p>
        </w:tc>
        <w:tc>
          <w:tcPr>
            <w:tcW w:w="348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天津市刑事科学技术研究所2024年度一般公共预算财政拨款支出决算表为空表。</w:t>
      </w:r>
      <w:bookmarkStart w:id="29" w:name="_Toc1001475672"/>
      <w:bookmarkStart w:id="30" w:name="_Toc1014896516"/>
      <w:bookmarkStart w:id="31" w:name="_Toc186484095"/>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bCs w:val="0"/>
          <w:sz w:val="30"/>
          <w:szCs w:val="30"/>
          <w:highlight w:val="none"/>
          <w:u w:val="none"/>
          <w:lang w:val="en-US" w:eastAsia="zh-CN"/>
        </w:rPr>
      </w:pPr>
      <w:bookmarkStart w:id="32" w:name="_Toc807341451"/>
      <w:r>
        <w:rPr>
          <w:rFonts w:ascii="黑体" w:eastAsia="黑体" w:hAnsi="黑体" w:cs="Times New Roman" w:hint="eastAsia"/>
          <w:sz w:val="30"/>
          <w:szCs w:val="30"/>
          <w:highlight w:val="none"/>
          <w:u w:val="none"/>
          <w:lang w:val="en-US" w:eastAsia="zh-CN"/>
        </w:rPr>
        <w:t xml:space="preserve">七、《一般公共预算财政拨款基本支出决算表》</w:t>
      </w:r>
      <w:bookmarkEnd w:id="29"/>
      <w:bookmarkEnd w:id="30"/>
      <w:bookmarkEnd w:id="31"/>
      <w:bookmarkEnd w:id="3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单位：天津市刑事科学技术研究所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天津市刑事科学技术研究所2024年度一般公共预算财政拨款基本支出决算表为空表。</w:t>
      </w: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r>
        <w:br w:type="page"/>
      </w:r>
      <w:bookmarkStart w:id="33" w:name="_Toc1972277765"/>
      <w:bookmarkStart w:id="34" w:name="_Toc2050619938"/>
      <w:bookmarkStart w:id="35" w:name="_Toc1059543692"/>
      <w:bookmarkStart w:id="36" w:name="_Toc1186085211"/>
      <w:r>
        <w:rPr>
          <w:rFonts w:ascii="黑体" w:eastAsia="黑体" w:hAnsi="黑体" w:cs="Times New Roman" w:hint="eastAsia"/>
          <w:sz w:val="30"/>
          <w:szCs w:val="30"/>
          <w:highlight w:val="none"/>
          <w:u w:val="none"/>
          <w:lang w:val="en-US" w:eastAsia="zh-CN"/>
        </w:rPr>
        <w:t xml:space="preserve">八、《政府性基金预算财政拨款收入支出决算表》</w:t>
      </w:r>
      <w:bookmarkEnd w:id="33"/>
      <w:bookmarkEnd w:id="34"/>
      <w:bookmarkEnd w:id="35"/>
      <w:bookmarkEnd w:id="3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单位：天津市刑事科学技术研究所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天津市刑事科学技术研究所2024年度政府性基金预算财政拨款收入支出决算表为空表。</w:t>
      </w:r>
      <w:bookmarkStart w:id="37" w:name="_Toc1662304910"/>
      <w:bookmarkStart w:id="38" w:name="_Toc816430520"/>
      <w:bookmarkStart w:id="39" w:name="_Toc1951730910"/>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40" w:name="_Toc1590929823"/>
      <w:r>
        <w:rPr>
          <w:rFonts w:ascii="黑体" w:eastAsia="黑体" w:hAnsi="黑体" w:cs="Times New Roman" w:hint="eastAsia"/>
          <w:sz w:val="30"/>
          <w:szCs w:val="30"/>
          <w:highlight w:val="none"/>
          <w:u w:val="none"/>
          <w:lang w:val="en-US" w:eastAsia="zh-CN"/>
        </w:rPr>
        <w:t xml:space="preserve">九、《国有资本经营预算财政拨款收入支出决算表》</w:t>
      </w:r>
      <w:bookmarkEnd w:id="37"/>
      <w:bookmarkEnd w:id="38"/>
      <w:bookmarkEnd w:id="39"/>
      <w:bookmarkEnd w:id="4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单位：天津市刑事科学技术研究所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天津市刑事科学技术研究所2024年国有资本经营预算财政拨款收入支出决算表为空表。</w:t>
      </w:r>
      <w:bookmarkStart w:id="41" w:name="_Toc2076180092"/>
      <w:bookmarkStart w:id="42" w:name="_Toc1743858547"/>
      <w:bookmarkStart w:id="43" w:name="_Toc1474728957"/>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bookmarkStart w:id="44" w:name="_Toc438646364"/>
      <w:r>
        <w:rPr>
          <w:rFonts w:ascii="黑体" w:eastAsia="黑体" w:hAnsi="黑体" w:cs="Times New Roman" w:hint="eastAsia"/>
          <w:sz w:val="30"/>
          <w:szCs w:val="30"/>
          <w:highlight w:val="none"/>
          <w:u w:val="none"/>
          <w:lang w:val="en-US" w:eastAsia="zh-CN"/>
        </w:rPr>
        <w:t xml:space="preserve">十、《财政拨款“三公”经费支出决算表》</w:t>
      </w:r>
      <w:bookmarkEnd w:id="41"/>
      <w:bookmarkEnd w:id="42"/>
      <w:bookmarkEnd w:id="43"/>
      <w:bookmarkEnd w:id="4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单位：天津市刑事科学技术研究所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天津市刑事科学技术研究所2024年财政拨款“三公”经费支出决算表为空表。</w:t>
      </w:r>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bookmarkStart w:id="45" w:name="_Toc1660810272"/>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6" w:name="_Toc173785173"/>
      <w:bookmarkStart w:id="47" w:name="_Toc18079597"/>
      <w:bookmarkStart w:id="48" w:name="_Toc2044509788"/>
      <w:r>
        <w:rPr>
          <w:rFonts w:ascii="黑体" w:eastAsia="黑体" w:hAnsi="黑体" w:cs="Times New Roman" w:hint="eastAsia"/>
          <w:sz w:val="30"/>
          <w:szCs w:val="30"/>
          <w:highlight w:val="none"/>
          <w:u w:val="none"/>
          <w:lang w:val="en-US" w:eastAsia="zh-CN"/>
        </w:rPr>
        <w:t xml:space="preserve">十一、《项目支出决算表》</w:t>
      </w:r>
      <w:bookmarkEnd w:id="46"/>
      <w:bookmarkEnd w:id="47"/>
      <w:bookmarkEnd w:id="4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单位：天津市刑事科学技术研究所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p>
        </w:tc>
        <w:tc>
          <w:tcPr>
            <w:tcW w:w="4560" w:type="dxa"/>
            <w:tcBorders/>
            <w:vAlign w:val="center"/>
          </w:tcPr>
          <w:p>
            <w:pP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21"/>
          <w:szCs w:val="21"/>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天津市刑事科学技术研究所2024年项目支出决算表为空表。</w:t>
      </w:r>
    </w:p>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rPr>
          <w:rFonts w:ascii="黑体" w:eastAsia="黑体" w:hint="eastAsia"/>
          <w:sz w:val="30"/>
          <w:szCs w:val="30"/>
          <w:highlight w:val="none"/>
          <w:u w:val="none"/>
          <w:lang w:val="en-US" w:eastAsia="zh-CN"/>
        </w:rPr>
      </w:pPr>
      <w:bookmarkEnd w:id="45"/>
      <w:bookmarkStart w:id="49" w:name="_Toc229642691"/>
      <w:bookmarkStart w:id="50" w:name="_Toc245797798"/>
      <w:bookmarkStart w:id="51" w:name="_Toc190171269"/>
      <w:bookmarkStart w:id="52" w:name="_Toc1068592552"/>
      <w:r>
        <w:rPr>
          <w:rFonts w:ascii="方正小标宋简体" w:eastAsia="方正小标宋简体" w:hAnsi="方正小标宋简体" w:cs="方正小标宋简体" w:hint="eastAsia"/>
          <w:b w:val="0"/>
          <w:sz w:val="44"/>
          <w:szCs w:val="44"/>
          <w:highlight w:val="none"/>
          <w:u w:val="none"/>
          <w:lang w:val="en-US" w:eastAsia="zh-CN"/>
        </w:rPr>
        <w:t xml:space="preserve">第三部分 2024年度部门决算情况说明</w:t>
      </w:r>
      <w:bookmarkEnd w:id="49"/>
      <w:bookmarkEnd w:id="50"/>
      <w:bookmarkEnd w:id="51"/>
      <w:bookmarkEnd w:id="52"/>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53" w:name="_Toc1512537805"/>
      <w:bookmarkStart w:id="54" w:name="_Toc429281603"/>
      <w:bookmarkStart w:id="55" w:name="_Toc576593978"/>
      <w:bookmarkStart w:id="56" w:name="_Toc752851347"/>
      <w:r>
        <w:rPr>
          <w:rFonts w:ascii="黑体" w:eastAsia="黑体" w:hAnsi="黑体" w:hint="eastAsia"/>
          <w:bCs w:val="0"/>
          <w:sz w:val="30"/>
          <w:szCs w:val="30"/>
          <w:highlight w:val="none"/>
          <w:u w:val="none"/>
          <w:lang w:val="en-US" w:eastAsia="zh-CN"/>
        </w:rPr>
        <w:t xml:space="preserve">一、收入支出决算总体情况说明</w:t>
      </w:r>
      <w:bookmarkEnd w:id="53"/>
      <w:bookmarkEnd w:id="54"/>
      <w:bookmarkEnd w:id="55"/>
      <w:bookmarkEnd w:id="56"/>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天津市刑事科学技术研究所</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2,962,745.52</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w:t>
      </w:r>
      <w:r>
        <w:rPr>
          <w:rFonts w:eastAsia="仿宋_GB2312"/>
          <w:sz w:val="30"/>
          <w:szCs w:val="30"/>
          <w:highlight w:val="none"/>
          <w:u w:val="none"/>
          <w:lang w:val="en-US" w:eastAsia="zh-CN"/>
        </w:rPr>
        <w:t xml:space="preserve">与</w:t>
      </w:r>
      <w:r>
        <w:rPr>
          <w:rFonts w:eastAsia="仿宋_GB2312" w:hint="eastAsia"/>
          <w:sz w:val="30"/>
          <w:szCs w:val="30"/>
          <w:highlight w:val="none"/>
          <w:u w:val="none"/>
          <w:lang w:val="en-US" w:eastAsia="zh-CN"/>
        </w:rPr>
        <w:t xml:space="preserve">2023</w:t>
      </w:r>
      <w:r>
        <w:rPr>
          <w:rFonts w:eastAsia="仿宋_GB2312"/>
          <w:sz w:val="30"/>
          <w:szCs w:val="30"/>
          <w:highlight w:val="none"/>
          <w:u w:val="none"/>
          <w:lang w:val="en-US" w:eastAsia="zh-CN"/>
        </w:rPr>
        <w:t xml:space="preserve">年</w:t>
      </w:r>
      <w:r>
        <w:rPr>
          <w:rFonts w:eastAsia="仿宋_GB2312" w:hint="eastAsia"/>
          <w:sz w:val="30"/>
          <w:szCs w:val="30"/>
          <w:highlight w:val="none"/>
          <w:u w:val="none"/>
          <w:lang w:val="en-US" w:eastAsia="zh-CN"/>
        </w:rPr>
        <w:t xml:space="preserve">度相比，收、支总计各</w:t>
      </w:r>
      <w:r>
        <w:rPr>
          <w:rFonts w:eastAsia="仿宋_GB2312" w:hint="eastAsia"/>
          <w:sz w:val="30"/>
          <w:szCs w:val="30"/>
          <w:highlight w:val="none"/>
          <w:u w:val="none"/>
          <w:lang w:val="en-US" w:eastAsia="zh-CN"/>
        </w:rPr>
        <w:t xml:space="preserve">减少3,889,392.04元，下降56.762%</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我单位2024年非财政拨款结余减少</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其他收入5,074.88元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公共安全支出2,962,745.52元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7" w:name="_Toc198940905"/>
      <w:bookmarkStart w:id="58" w:name="_Toc1458959096"/>
      <w:bookmarkStart w:id="59" w:name="_Toc1538331348"/>
      <w:bookmarkStart w:id="60" w:name="_Toc1368772982"/>
      <w:r>
        <w:rPr>
          <w:rFonts w:ascii="黑体" w:eastAsia="黑体" w:hAnsi="黑体" w:cs="仿宋_GB2312" w:hint="eastAsia"/>
          <w:bCs w:val="0"/>
          <w:sz w:val="30"/>
          <w:szCs w:val="30"/>
          <w:highlight w:val="none"/>
          <w:u w:val="none"/>
          <w:lang w:val="en-US" w:eastAsia="zh-CN"/>
        </w:rPr>
        <w:t xml:space="preserve">二、收入决算情况说明</w:t>
      </w:r>
      <w:bookmarkEnd w:id="57"/>
      <w:bookmarkEnd w:id="58"/>
      <w:bookmarkEnd w:id="59"/>
      <w:bookmarkEnd w:id="60"/>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天津市刑事科学技术研究所</w:t>
      </w:r>
      <w:r>
        <w:rPr>
          <w:rFonts w:eastAsia="仿宋_GB2312" w:hint="eastAsia"/>
          <w:sz w:val="30"/>
          <w:szCs w:val="30"/>
          <w:highlight w:val="none"/>
          <w:u w:val="none"/>
          <w:lang w:val="en-US" w:eastAsia="zh-CN"/>
        </w:rPr>
        <w:t xml:space="preserve">2024年度本年收入合计</w:t>
      </w:r>
      <w:r>
        <w:rPr>
          <w:rFonts w:eastAsia="仿宋_GB2312" w:hint="eastAsia"/>
          <w:sz w:val="30"/>
          <w:szCs w:val="30"/>
          <w:highlight w:val="none"/>
          <w:u w:val="none"/>
          <w:lang w:val="en-US" w:eastAsia="zh-CN"/>
        </w:rPr>
        <w:t xml:space="preserve">5,074.88</w:t>
      </w:r>
      <w:r>
        <w:rPr>
          <w:rFonts w:eastAsia="仿宋_GB2312" w:hint="eastAsia"/>
          <w:sz w:val="30"/>
          <w:szCs w:val="30"/>
          <w:highlight w:val="none"/>
          <w:u w:val="none"/>
          <w:lang w:val="en-US" w:eastAsia="zh-CN"/>
        </w:rPr>
        <w:t xml:space="preserve">元，与2023年度相比</w:t>
      </w:r>
      <w:r>
        <w:rPr>
          <w:rFonts w:eastAsia="仿宋_GB2312" w:hint="eastAsia"/>
          <w:sz w:val="30"/>
          <w:szCs w:val="30"/>
          <w:highlight w:val="none"/>
          <w:u w:val="none"/>
          <w:lang w:val="en-US" w:eastAsia="zh-CN"/>
        </w:rPr>
        <w:t xml:space="preserve">减少6,596.18元，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我单位2024年度银行存款减少，利息减少</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其他收入5,074.88元，占100.000%</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61" w:name="_Toc1122681810"/>
      <w:bookmarkStart w:id="62" w:name="_Toc2115235603"/>
      <w:bookmarkStart w:id="63" w:name="_Toc1179339603"/>
      <w:bookmarkStart w:id="64" w:name="_Toc757245026"/>
      <w:r>
        <w:rPr>
          <w:rFonts w:ascii="黑体" w:eastAsia="黑体" w:hAnsi="黑体" w:cs="仿宋_GB2312" w:hint="eastAsia"/>
          <w:bCs w:val="0"/>
          <w:sz w:val="30"/>
          <w:szCs w:val="30"/>
          <w:highlight w:val="none"/>
          <w:u w:val="none"/>
          <w:lang w:val="en-US" w:eastAsia="zh-CN"/>
        </w:rPr>
        <w:t xml:space="preserve">三、支出决算情况说明</w:t>
      </w:r>
      <w:bookmarkEnd w:id="61"/>
      <w:bookmarkEnd w:id="62"/>
      <w:bookmarkEnd w:id="63"/>
      <w:bookmarkEnd w:id="64"/>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天津市刑事科学技术研究所</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本年</w:t>
      </w:r>
      <w:r>
        <w:rPr>
          <w:rFonts w:eastAsia="仿宋_GB2312"/>
          <w:sz w:val="30"/>
          <w:szCs w:val="30"/>
          <w:highlight w:val="none"/>
          <w:u w:val="none"/>
          <w:lang w:val="en-US" w:eastAsia="zh-CN"/>
        </w:rPr>
        <w:t xml:space="preserve">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2,962,745.52</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增加58,898.75元，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我单位2024年开展业务需要，支出比2023年略有增加</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基本支出2,962,745.52元，占100.000%</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65" w:name="_Toc1320487183"/>
      <w:bookmarkStart w:id="66" w:name="_Toc1029059860"/>
      <w:bookmarkStart w:id="67" w:name="_Toc1121858128"/>
      <w:bookmarkStart w:id="68" w:name="_Toc2034129458"/>
      <w:r>
        <w:rPr>
          <w:rFonts w:ascii="黑体" w:eastAsia="黑体" w:hAnsi="黑体" w:hint="eastAsia"/>
          <w:bCs w:val="0"/>
          <w:sz w:val="30"/>
          <w:szCs w:val="30"/>
          <w:highlight w:val="none"/>
          <w:u w:val="none"/>
          <w:lang w:val="en-US" w:eastAsia="zh-CN"/>
        </w:rPr>
        <w:t xml:space="preserve">四、财政拨款收支决算总体情况说明</w:t>
      </w:r>
      <w:bookmarkEnd w:id="65"/>
      <w:bookmarkEnd w:id="66"/>
      <w:bookmarkEnd w:id="67"/>
      <w:bookmarkEnd w:id="68"/>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天津市刑事科学技术研究所</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财政拨款</w:t>
      </w:r>
      <w:r>
        <w:rPr>
          <w:rFonts w:eastAsia="仿宋_GB2312"/>
          <w:sz w:val="30"/>
          <w:szCs w:val="30"/>
          <w:highlight w:val="none"/>
          <w:u w:val="none"/>
          <w:lang w:val="en-US" w:eastAsia="zh-CN"/>
        </w:rPr>
        <w:t xml:space="preserve">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元。与2023年度相比，财政拨款收、支总计各</w:t>
      </w:r>
      <w:r>
        <w:rPr>
          <w:rFonts w:eastAsia="仿宋_GB2312" w:hint="eastAsia"/>
          <w:sz w:val="30"/>
          <w:szCs w:val="30"/>
          <w:highlight w:val="none"/>
          <w:u w:val="none"/>
          <w:lang w:val="en-US" w:eastAsia="zh-CN"/>
        </w:rPr>
        <w:t xml:space="preserve">增加0.00元，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我单位2024年度无财政拨款收入、支出</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9" w:name="_Toc1332076583"/>
      <w:bookmarkStart w:id="70" w:name="_Toc1723257729"/>
      <w:bookmarkStart w:id="71" w:name="_Toc163136636"/>
      <w:bookmarkStart w:id="72" w:name="_Toc1821624013"/>
      <w:r>
        <w:rPr>
          <w:rFonts w:ascii="黑体" w:eastAsia="黑体" w:hAnsi="黑体" w:cs="仿宋_GB2312" w:hint="eastAsia"/>
          <w:sz w:val="30"/>
          <w:szCs w:val="30"/>
          <w:highlight w:val="none"/>
          <w:u w:val="none"/>
          <w:lang w:val="en-US" w:eastAsia="zh-CN"/>
        </w:rPr>
        <w:t xml:space="preserve">五、一般公共预算财政拨款支出决算情况说明</w:t>
      </w:r>
      <w:bookmarkEnd w:id="69"/>
      <w:bookmarkEnd w:id="70"/>
      <w:bookmarkEnd w:id="71"/>
      <w:bookmarkEnd w:id="72"/>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天津市刑事科学技术研究所2024年度无一般公共预算财政拨款收入、支出和结转结余。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3" w:name="_Toc1648307680"/>
      <w:bookmarkStart w:id="74" w:name="_Toc1507914859"/>
      <w:bookmarkStart w:id="75" w:name="_Toc1828187861"/>
      <w:bookmarkStart w:id="76" w:name="_Toc1127616914"/>
      <w:r>
        <w:rPr>
          <w:rFonts w:ascii="黑体" w:eastAsia="黑体" w:hAnsi="黑体" w:cs="仿宋_GB2312" w:hint="eastAsia"/>
          <w:sz w:val="30"/>
          <w:szCs w:val="30"/>
          <w:highlight w:val="none"/>
          <w:u w:val="none"/>
          <w:lang w:val="en-US" w:eastAsia="zh-CN"/>
        </w:rPr>
        <w:t xml:space="preserve">六、一般公共预算财政拨款基本支出决算情况说明</w:t>
      </w:r>
      <w:bookmarkEnd w:id="73"/>
      <w:bookmarkEnd w:id="74"/>
      <w:bookmarkEnd w:id="75"/>
      <w:bookmarkEnd w:id="76"/>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天津市刑事科学技术研究所</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年度部门决算一般公共预算财政拨款基本支出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0.00</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增加0.00元，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天津市刑事科学技术研究所2024年度无部门决算一般公共预算财政拨款基本支出</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7" w:name="_Toc314288823"/>
      <w:bookmarkStart w:id="78" w:name="_Toc568131460"/>
      <w:bookmarkStart w:id="79" w:name="_Toc157358551"/>
      <w:bookmarkStart w:id="80" w:name="_Toc1070516966"/>
      <w:r>
        <w:rPr>
          <w:rFonts w:ascii="黑体" w:eastAsia="黑体" w:hAnsi="黑体" w:cs="仿宋_GB2312" w:hint="eastAsia"/>
          <w:sz w:val="30"/>
          <w:szCs w:val="30"/>
          <w:highlight w:val="none"/>
          <w:u w:val="none"/>
          <w:lang w:val="en-US" w:eastAsia="zh-CN"/>
        </w:rPr>
        <w:t xml:space="preserve">七、政府性基金预算财政拨款收支决算情况说明</w:t>
      </w:r>
      <w:bookmarkEnd w:id="77"/>
      <w:bookmarkEnd w:id="78"/>
      <w:bookmarkEnd w:id="79"/>
      <w:bookmarkEnd w:id="80"/>
    </w:p>
    <w:p>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天津市刑事科学技术研究所2024年度无政府性基金预算财政拨款收入、支出和结转结余。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1" w:name="_Toc1589960188"/>
      <w:bookmarkStart w:id="82" w:name="_Toc560652996"/>
      <w:bookmarkStart w:id="83" w:name="_Toc873153658"/>
      <w:bookmarkStart w:id="84" w:name="_Toc1172797200"/>
      <w:r>
        <w:rPr>
          <w:rFonts w:ascii="黑体" w:eastAsia="黑体" w:hAnsi="黑体" w:cs="仿宋_GB2312" w:hint="eastAsia"/>
          <w:sz w:val="30"/>
          <w:szCs w:val="30"/>
          <w:highlight w:val="none"/>
          <w:u w:val="none"/>
          <w:lang w:val="en-US" w:eastAsia="zh-CN"/>
        </w:rPr>
        <w:t xml:space="preserve">八、国有资本经营预算财政拨款收支决算情况说明</w:t>
      </w:r>
      <w:bookmarkEnd w:id="81"/>
      <w:bookmarkEnd w:id="82"/>
      <w:bookmarkEnd w:id="83"/>
      <w:bookmarkEnd w:id="84"/>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天津市刑事科学技术研究所2024年度无国有资本经营预算财政拨款收入、支出和结转结余。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5" w:name="_Toc1337770055"/>
      <w:bookmarkStart w:id="86" w:name="_Toc1597628234"/>
      <w:bookmarkStart w:id="87" w:name="_Toc1321860095"/>
      <w:bookmarkStart w:id="88" w:name="_Toc1884144383"/>
      <w:r>
        <w:rPr>
          <w:rFonts w:ascii="黑体" w:eastAsia="黑体" w:hAnsi="黑体" w:cs="仿宋_GB2312" w:hint="eastAsia"/>
          <w:sz w:val="30"/>
          <w:szCs w:val="30"/>
          <w:highlight w:val="none"/>
          <w:u w:val="none"/>
          <w:lang w:val="en-US" w:eastAsia="zh-CN"/>
        </w:rPr>
        <w:t xml:space="preserve">九、财政拨款“三公”经费支出决算情况说明</w:t>
      </w:r>
      <w:bookmarkEnd w:id="85"/>
      <w:bookmarkEnd w:id="86"/>
      <w:bookmarkEnd w:id="87"/>
      <w:bookmarkEnd w:id="88"/>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9" w:name="_Toc784288450"/>
      <w:bookmarkStart w:id="90" w:name="_Toc99152753"/>
      <w:r>
        <w:rPr>
          <w:rFonts w:ascii="楷体" w:eastAsia="楷体" w:hAnsi="楷体" w:cs="楷体" w:hint="eastAsia"/>
          <w:b/>
          <w:bCs/>
          <w:sz w:val="30"/>
          <w:szCs w:val="30"/>
          <w:highlight w:val="none"/>
          <w:u w:val="none"/>
          <w:lang w:val="en-US" w:eastAsia="zh-CN"/>
        </w:rPr>
        <w:t xml:space="preserve">（一）总体情况</w:t>
      </w:r>
      <w:bookmarkEnd w:id="89"/>
      <w:bookmarkEnd w:id="90"/>
    </w:p>
    <w:p>
      <w:pPr>
        <w:pageBreakBefore w:val="0"/>
        <w:kinsoku/>
        <w:wordWrap/>
        <w:overflowPunct/>
        <w:topLinePunct w:val="0"/>
        <w:autoSpaceDE/>
        <w:autoSpaceDN/>
        <w:bidi w:val="0"/>
        <w:snapToGrid/>
        <w:spacing w:line="600" w:lineRule="exact"/>
        <w:ind w:firstLine="600" w:firstLineChars="200"/>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2024年财政拨款“三公”经费预算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元，与2024年预算相比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决算数与预算数持平的主要原因是本年度未用财政拨款经费列支“三公”经费；</w:t>
      </w:r>
      <w:r>
        <w:rPr>
          <w:rFonts w:eastAsia="仿宋_GB2312" w:hint="eastAsia"/>
          <w:sz w:val="30"/>
          <w:szCs w:val="30"/>
          <w:highlight w:val="none"/>
          <w:u w:val="none"/>
          <w:lang w:val="en-US" w:eastAsia="zh-CN"/>
        </w:rPr>
        <w:t xml:space="preserve">决算数较上年持平的主要原因是本年度未用财政拨款经费列支“三公”经费。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91" w:name="_Toc13009599"/>
      <w:bookmarkStart w:id="92" w:name="_Toc281353864"/>
      <w:r>
        <w:rPr>
          <w:rFonts w:ascii="楷体" w:eastAsia="楷体" w:hAnsi="楷体" w:cs="楷体" w:hint="eastAsia"/>
          <w:b/>
          <w:bCs/>
          <w:sz w:val="30"/>
          <w:szCs w:val="30"/>
          <w:highlight w:val="none"/>
          <w:u w:val="none"/>
          <w:lang w:val="en-US" w:eastAsia="zh-CN"/>
        </w:rPr>
        <w:t xml:space="preserve">（二）具体情况</w:t>
      </w:r>
      <w:bookmarkEnd w:id="91"/>
      <w:bookmarkEnd w:id="92"/>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1.因公出国（境）费预算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决算数与预算数持平的主要原因是本年度未用财政拨款经费列支因公出国（境）费；</w:t>
      </w:r>
      <w:r>
        <w:rPr>
          <w:rFonts w:eastAsia="仿宋_GB2312" w:hint="eastAsia"/>
          <w:sz w:val="30"/>
          <w:szCs w:val="30"/>
          <w:highlight w:val="none"/>
          <w:u w:val="none"/>
          <w:lang w:val="en-US" w:eastAsia="zh-CN"/>
        </w:rPr>
        <w:t xml:space="preserve">决算数较上年持平的主要原因是本年度未用财政拨款经费列支因公出国（境）费。</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2024年本单位组织的出国团组</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个，出国</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人次。</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2.公务用车购置及运行维护费预算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决算数与预算数持平的主要原因是本年度未用财政拨款经费列支公务用车购置及运行维护费预算；</w:t>
      </w:r>
      <w:r>
        <w:rPr>
          <w:rFonts w:eastAsia="仿宋_GB2312" w:hint="eastAsia"/>
          <w:sz w:val="30"/>
          <w:szCs w:val="30"/>
          <w:highlight w:val="none"/>
          <w:u w:val="none"/>
          <w:lang w:val="en-US" w:eastAsia="zh-CN"/>
        </w:rPr>
        <w:t xml:space="preserve">决算数较上年持平的主要原因是本年度未用财政拨款经费列支公务用车购置及运行维护费预算。</w:t>
      </w:r>
      <w:r>
        <w:rPr>
          <w:rFonts w:eastAsia="仿宋_GB2312"/>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公务用车运行维护费预算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决算数与预算数持平的主要原因是本年度未用财政拨款经费列支公务用车运行维护费；</w:t>
      </w:r>
      <w:r>
        <w:rPr>
          <w:rFonts w:eastAsia="仿宋_GB2312" w:hint="eastAsia"/>
          <w:sz w:val="30"/>
          <w:szCs w:val="30"/>
          <w:highlight w:val="none"/>
          <w:u w:val="none"/>
          <w:lang w:val="en-US" w:eastAsia="zh-CN"/>
        </w:rPr>
        <w:t xml:space="preserve">决算数较上年持平的主要原因是本年度未用财政拨款经费列支公务用车运行维护费。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截至2024年12月31日，使用财政拨款开支运行维护费的公务用车保有量为</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公务用车购置费预算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决算数与预算数持平的主要原因是本年度未用财政拨款经费列支公务用车购置费；</w:t>
      </w:r>
      <w:r>
        <w:rPr>
          <w:rFonts w:eastAsia="仿宋_GB2312" w:hint="eastAsia"/>
          <w:sz w:val="30"/>
          <w:szCs w:val="30"/>
          <w:highlight w:val="none"/>
          <w:u w:val="none"/>
          <w:lang w:val="en-US" w:eastAsia="zh-CN"/>
        </w:rPr>
        <w:t xml:space="preserve">决算数较上年持平的主要原因是本年度未用财政拨款经费列支公务用车购置费。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2024年购置公务用车</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3.公务接待费预算</w:t>
      </w:r>
      <w:r>
        <w:rPr>
          <w:rFonts w:ascii="Times New Roman" w:eastAsia="仿宋_GB2312" w:hAnsi="Times New Roman" w:cs="Times New Roman" w:hint="eastAsia"/>
          <w:sz w:val="30"/>
          <w:szCs w:val="30"/>
          <w:highlight w:val="none"/>
          <w:u w:val="none"/>
          <w:lang w:val="en-US" w:eastAsia="zh-CN"/>
        </w:rPr>
        <w:t xml:space="preserve">0.00</w:t>
      </w:r>
      <w:r>
        <w:rPr>
          <w:rFonts w:ascii="Times New Roman" w:eastAsia="仿宋_GB2312" w:hAnsi="Times New Roman" w:cs="Times New Roman" w:hint="eastAsia"/>
          <w:sz w:val="30"/>
          <w:szCs w:val="30"/>
          <w:highlight w:val="none"/>
          <w:u w:val="none"/>
          <w:lang w:val="en-US" w:eastAsia="zh-CN"/>
        </w:rPr>
        <w:t xml:space="preserve">元，支出决算</w:t>
      </w:r>
      <w:r>
        <w:rPr>
          <w:rFonts w:ascii="Times New Roman" w:eastAsia="仿宋_GB2312" w:hAnsi="Times New Roman" w:cs="Times New Roman" w:hint="eastAsia"/>
          <w:sz w:val="30"/>
          <w:szCs w:val="30"/>
          <w:highlight w:val="none"/>
          <w:u w:val="none"/>
          <w:lang w:val="en-US" w:eastAsia="zh-CN"/>
        </w:rPr>
        <w:t xml:space="preserve">0.00</w:t>
      </w:r>
      <w:r>
        <w:rPr>
          <w:rFonts w:ascii="Times New Roman" w:eastAsia="仿宋_GB2312" w:hAnsi="Times New Roman" w:cs="Times New Roman" w:hint="eastAsia"/>
          <w:sz w:val="30"/>
          <w:szCs w:val="30"/>
          <w:highlight w:val="none"/>
          <w:u w:val="none"/>
          <w:lang w:val="en-US" w:eastAsia="zh-CN"/>
        </w:rPr>
        <w:t xml:space="preserve">元，与预算相比</w:t>
      </w:r>
      <w:r>
        <w:rPr>
          <w:rFonts w:ascii="Times New Roman" w:eastAsia="仿宋_GB2312" w:hAnsi="Times New Roman" w:cs="Times New Roman" w:hint="eastAsia"/>
          <w:sz w:val="30"/>
          <w:szCs w:val="30"/>
          <w:highlight w:val="none"/>
          <w:u w:val="none"/>
          <w:lang w:val="en-US" w:eastAsia="zh-CN"/>
        </w:rPr>
        <w:t xml:space="preserve">持平</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支出决算较上年持平</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决算数与预算数持平的主要原因是本年度未用财政拨款经费列支公务接待费；</w:t>
      </w:r>
      <w:r>
        <w:rPr>
          <w:rFonts w:ascii="Times New Roman" w:eastAsia="仿宋_GB2312" w:hAnsi="Times New Roman" w:cs="Times New Roman" w:hint="eastAsia"/>
          <w:sz w:val="30"/>
          <w:szCs w:val="30"/>
          <w:highlight w:val="none"/>
          <w:u w:val="none"/>
          <w:lang w:val="en-US" w:eastAsia="zh-CN"/>
        </w:rPr>
        <w:t xml:space="preserve">决算数较上年持平的主要原因是本年度未用财政拨款经费列支公务接待费。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2024年本单位国内公务接待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人次；其中，外事接待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3" w:name="_Toc20786419"/>
      <w:bookmarkStart w:id="94" w:name="_Toc2102885201"/>
      <w:bookmarkStart w:id="95" w:name="_Toc1349690397"/>
      <w:bookmarkStart w:id="96" w:name="_Toc1895013942"/>
      <w:r>
        <w:rPr>
          <w:rFonts w:ascii="黑体" w:eastAsia="黑体" w:hAnsi="黑体" w:cs="仿宋_GB2312" w:hint="eastAsia"/>
          <w:sz w:val="30"/>
          <w:szCs w:val="30"/>
          <w:highlight w:val="none"/>
          <w:u w:val="none"/>
          <w:lang w:val="en-US" w:eastAsia="zh-CN"/>
        </w:rPr>
        <w:t xml:space="preserve">十、机关运行经费支出情况说明</w:t>
      </w:r>
      <w:bookmarkEnd w:id="93"/>
      <w:bookmarkEnd w:id="94"/>
      <w:bookmarkEnd w:id="95"/>
      <w:bookmarkEnd w:id="96"/>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天津市刑事科学技术研究所2024年度无机关运行经费。</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7" w:name="_Toc1464993319"/>
      <w:bookmarkStart w:id="98" w:name="_Toc376739118"/>
      <w:bookmarkStart w:id="99" w:name="_Toc169354537"/>
      <w:bookmarkStart w:id="100" w:name="_Toc2053194528"/>
      <w:r>
        <w:rPr>
          <w:rFonts w:ascii="黑体" w:eastAsia="黑体" w:hAnsi="黑体" w:cs="仿宋_GB2312" w:hint="eastAsia"/>
          <w:sz w:val="30"/>
          <w:szCs w:val="30"/>
          <w:highlight w:val="none"/>
          <w:u w:val="none"/>
          <w:lang w:val="en-US" w:eastAsia="zh-CN"/>
        </w:rPr>
        <w:t xml:space="preserve">十一、政府采购支出情况说明</w:t>
      </w:r>
      <w:bookmarkEnd w:id="97"/>
      <w:bookmarkEnd w:id="98"/>
      <w:bookmarkEnd w:id="99"/>
      <w:bookmarkEnd w:id="100"/>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天津市刑事科学技术研究所2024年度无政府采购支出。</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1" w:name="_Toc1242699578"/>
      <w:bookmarkStart w:id="102" w:name="_Toc925871084"/>
      <w:bookmarkStart w:id="103" w:name="_Toc1072564870"/>
      <w:bookmarkStart w:id="104" w:name="_Toc125708453"/>
      <w:r>
        <w:rPr>
          <w:rFonts w:ascii="黑体" w:eastAsia="黑体" w:hAnsi="黑体" w:cs="仿宋_GB2312" w:hint="eastAsia"/>
          <w:sz w:val="30"/>
          <w:szCs w:val="30"/>
          <w:highlight w:val="none"/>
          <w:u w:val="none"/>
          <w:lang w:val="en-US" w:eastAsia="zh-CN"/>
        </w:rPr>
        <w:t xml:space="preserve">十二、国有资产占有使用情况说明</w:t>
      </w:r>
      <w:bookmarkEnd w:id="101"/>
      <w:bookmarkEnd w:id="102"/>
      <w:bookmarkEnd w:id="103"/>
      <w:bookmarkEnd w:id="104"/>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bookmarkStart w:id="105" w:name="_Toc620037172"/>
      <w:r>
        <w:rPr>
          <w:rFonts w:ascii="Times New Roman" w:eastAsia="仿宋_GB2312" w:hAnsi="Times New Roman" w:cs="Times New Roman" w:hint="eastAsia"/>
          <w:sz w:val="30"/>
          <w:szCs w:val="30"/>
          <w:highlight w:val="none"/>
          <w:u w:val="none"/>
          <w:lang w:val="en-US" w:eastAsia="zh-CN"/>
        </w:rPr>
        <w:t xml:space="preserve">截至2024年12月31日，天津市刑事科学技术研究所共有车辆0辆</w:t>
      </w:r>
      <w:r>
        <w:rPr>
          <w:rFonts w:ascii="Times New Roman" w:eastAsia="仿宋_GB2312" w:hAnsi="Times New Roman" w:cs="Times New Roman" w:hint="eastAsia"/>
          <w:sz w:val="30"/>
          <w:szCs w:val="30"/>
          <w:highlight w:val="none"/>
          <w:u w:val="none"/>
          <w:lang w:val="en-US" w:eastAsia="zh-CN"/>
        </w:rPr>
        <w:t xml:space="preserve">。单价100万元以上的设备2台（套）。</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6" w:name="_Toc448802626"/>
      <w:bookmarkStart w:id="107" w:name="_Toc1805544570"/>
      <w:bookmarkStart w:id="108" w:name="_Toc1773340371"/>
      <w:r>
        <w:rPr>
          <w:rFonts w:ascii="黑体" w:eastAsia="黑体" w:hAnsi="黑体" w:cs="仿宋_GB2312" w:hint="eastAsia"/>
          <w:sz w:val="30"/>
          <w:szCs w:val="30"/>
          <w:highlight w:val="none"/>
          <w:u w:val="none"/>
          <w:lang w:val="en-US" w:eastAsia="zh-CN"/>
        </w:rPr>
        <w:t xml:space="preserve">十三、预算绩效情况说明</w:t>
      </w:r>
      <w:bookmarkEnd w:id="105"/>
      <w:bookmarkEnd w:id="106"/>
      <w:bookmarkEnd w:id="107"/>
      <w:bookmarkEnd w:id="108"/>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    天津市刑事科学技术研究所2024年度没有项目支出，无需开展绩效自评。</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9" w:name="_Toc1843655880"/>
      <w:bookmarkStart w:id="110" w:name="_Toc1374094560"/>
      <w:bookmarkStart w:id="111" w:name="_Toc1753562331"/>
      <w:bookmarkStart w:id="112" w:name="_Toc1063166918"/>
      <w:r>
        <w:rPr>
          <w:rFonts w:ascii="黑体" w:eastAsia="黑体" w:hAnsi="黑体" w:cs="仿宋_GB2312" w:hint="eastAsia"/>
          <w:sz w:val="30"/>
          <w:szCs w:val="30"/>
          <w:highlight w:val="none"/>
          <w:u w:val="none"/>
          <w:lang w:val="en-US" w:eastAsia="zh-CN"/>
        </w:rPr>
        <w:t xml:space="preserve">十四、教育、医疗卫生、社会保障和就业、住房保障、涉农补贴等民生支出情况说明</w:t>
      </w:r>
      <w:bookmarkEnd w:id="109"/>
      <w:bookmarkEnd w:id="110"/>
      <w:bookmarkEnd w:id="111"/>
      <w:bookmarkEnd w:id="112"/>
    </w:p>
    <w:p>
      <w:pPr>
        <w:pageBreakBefore w:val="0"/>
        <w:kinsoku/>
        <w:wordWrap/>
        <w:overflowPunct/>
        <w:topLinePunct w:val="0"/>
        <w:autoSpaceDE/>
        <w:autoSpaceDN/>
        <w:bidi w:val="0"/>
        <w:snapToGrid/>
        <w:spacing w:line="600" w:lineRule="exact"/>
        <w:rPr>
          <w:rFonts w:ascii="Times New Roman" w:eastAsia="楷体" w:hAnsi="Times New Roman" w:cs="Times New Roman" w:hint="eastAsia"/>
          <w:sz w:val="30"/>
          <w:szCs w:val="30"/>
          <w:highlight w:val="none"/>
          <w:u w:val="none"/>
          <w:lang w:val="en-US" w:eastAsia="zh-CN"/>
        </w:rPr>
      </w:pPr>
      <w:r>
        <w:rPr>
          <w:rFonts w:eastAsia="仿宋_GB2312" w:hint="eastAsia"/>
          <w:sz w:val="30"/>
          <w:szCs w:val="30"/>
          <w:highlight w:val="none"/>
          <w:u w:val="none"/>
          <w:lang w:val="en-US" w:eastAsia="zh-CN"/>
        </w:rPr>
        <w:t xml:space="preserve">    天津市刑事科学技术研究所不属于乡、镇、街级单位，不涉及公开2024年度教育、医疗卫生、社会保障和就业、住房保障、涉农补贴等民生支出情况。</w:t>
      </w:r>
      <w:r>
        <w:br w:type="page"/>
      </w:r>
    </w:p>
    <w:p>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u w:val="none"/>
          <w:lang w:val="en-US" w:eastAsia="zh-CN"/>
        </w:rPr>
      </w:pPr>
      <w:bookmarkStart w:id="113" w:name="_Toc56525689"/>
      <w:bookmarkStart w:id="114" w:name="_Toc368130082"/>
      <w:bookmarkStart w:id="115" w:name="_Toc1582447786"/>
      <w:bookmarkStart w:id="116" w:name="_Toc282832597"/>
      <w:r>
        <w:rPr>
          <w:rFonts w:ascii="方正小标宋简体" w:eastAsia="方正小标宋简体" w:hAnsi="方正小标宋简体" w:cs="方正小标宋简体" w:hint="eastAsia"/>
          <w:b w:val="0"/>
          <w:sz w:val="44"/>
          <w:szCs w:val="44"/>
          <w:highlight w:val="none"/>
          <w:u w:val="none"/>
          <w:lang w:val="en-US" w:eastAsia="zh-CN"/>
        </w:rPr>
        <w:t xml:space="preserve">第四部分  名词解释</w:t>
      </w:r>
      <w:bookmarkEnd w:id="113"/>
      <w:bookmarkEnd w:id="114"/>
      <w:bookmarkEnd w:id="115"/>
      <w:bookmarkEnd w:id="116"/>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ascii="Times New Roman" w:eastAsia="仿宋_GB2312" w:hAnsi="Times New Roman" w:cs="Times New Roman" w:hint="eastAsia"/>
          <w:sz w:val="30"/>
          <w:szCs w:val="30"/>
          <w:highlight w:val="none"/>
          <w:lang w:val="en-US" w:eastAsia="zh-CN"/>
        </w:rPr>
      </w:pPr>
      <w:r>
        <w:rPr>
          <w:rFonts w:ascii="Times New Roman" w:eastAsia="仿宋_GB2312" w:hAnsi="Times New Roman" w:cs="Times New Roman" w:hint="eastAsia"/>
          <w:sz w:val="30"/>
          <w:szCs w:val="30"/>
          <w:highlight w:val="none"/>
          <w:lang w:val="en-US" w:eastAsia="zh-CN"/>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lang w:val="en-US" w:eastAsia="zh-CN"/>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lang w:val="en-US" w:eastAsia="zh-CN"/>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auto"/>
    <w:pitch w:val="default"/>
    <w:sig w:usb0="00000000" w:usb1="00000000" w:usb2="02000000" w:usb3="00000000" w:csb0="2000019F"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r>
      <w:rPr>
        <w:lang w:val="en-US" w:eastAsia="zh-CN"/>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0" name="文本框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2049"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Char"/>
    <w:uiPriority w:val="9"/>
    <w:qFormat/>
    <w:pPr>
      <w:keepNext/>
      <w:keepLines/>
      <w:spacing w:before="340" w:after="330" w:line="578" w:lineRule="atLeast"/>
      <w:outlineLvl w:val="0"/>
    </w:pPr>
    <w:rPr>
      <w:b/>
      <w:bCs/>
      <w:kern w:val="44"/>
      <w:sz w:val="44"/>
      <w:szCs w:val="44"/>
      <w:lang w:val="en-US" w:eastAsia="zh-CN"/>
    </w:rPr>
  </w:style>
  <w:style w:type="paragraph" w:styleId="Heading2">
    <w:name w:val="Heading 2"/>
    <w:basedOn w:val="Normal"/>
    <w:next w:val="Normal"/>
    <w:link w:val="标题2Char"/>
    <w:uiPriority w:val="9"/>
    <w:unhideWhenUsed/>
    <w:qFormat/>
    <w:pPr>
      <w:keepNext/>
      <w:keepLines/>
      <w:spacing w:before="260" w:after="260" w:line="416" w:lineRule="atLeast"/>
      <w:outlineLvl w:val="1"/>
    </w:pPr>
    <w:rPr>
      <w:rFonts w:ascii="Cambria" w:eastAsia="宋体" w:hAnsi="Cambria" w:cs="Times New Roman"/>
      <w:b/>
      <w:bCs/>
      <w:sz w:val="32"/>
      <w:szCs w:val="32"/>
      <w:lang w:val="en-US" w:eastAsia="zh-CN"/>
    </w:rPr>
  </w:style>
  <w:style w:type="paragraph" w:styleId="Heading3">
    <w:name w:val="Heading 3"/>
    <w:basedOn w:val="Normal"/>
    <w:next w:val="Normal"/>
    <w:link w:val="标题3Char"/>
    <w:uiPriority w:val="9"/>
    <w:unhideWhenUsed/>
    <w:qFormat/>
    <w:pPr>
      <w:keepNext/>
      <w:keepLines/>
      <w:spacing w:before="260" w:after="260" w:line="416" w:lineRule="atLeast"/>
      <w:outlineLvl w:val="2"/>
    </w:pPr>
    <w:rPr>
      <w:b/>
      <w:bCs/>
      <w:sz w:val="32"/>
      <w:szCs w:val="32"/>
      <w:lang w:val="en-US" w:eastAsia="zh-CN"/>
    </w:rPr>
  </w:style>
  <w:style w:type="character" w:default="1" w:styleId="DefaultParagraphFont">
    <w:name w:val="Default Paragraph Font"/>
    <w:unhideWhenUsed/>
    <w:qFormat/>
    <w:rPr/>
  </w:style>
  <w:style w:type="table" w:default="1" w:styleId="NormalTable">
    <w:name w:val="Normal Table"/>
    <w:uiPriority w:val="99"/>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lang w:val="en-US" w:eastAsia="zh-CN"/>
    </w:rPr>
  </w:style>
  <w:style w:type="paragraph" w:styleId="BalloonText">
    <w:name w:val="Balloon Text"/>
    <w:basedOn w:val="Normal"/>
    <w:link w:val="批注框文本Char"/>
    <w:uiPriority w:val="99"/>
    <w:unhideWhenUsed/>
    <w:qFormat/>
    <w:pPr>
      <w:spacing w:line="240" w:lineRule="auto"/>
    </w:pPr>
    <w:rPr>
      <w:sz w:val="18"/>
      <w:szCs w:val="18"/>
      <w:lang w:val="en-US" w:eastAsia="zh-CN"/>
    </w:rPr>
  </w:style>
  <w:style w:type="paragraph" w:styleId="Footer">
    <w:name w:val="Footer"/>
    <w:basedOn w:val="Normal"/>
    <w:link w:val="页脚Char"/>
    <w:unhideWhenUsed/>
    <w:qFormat/>
    <w:pPr>
      <w:tabs>
        <w:tab w:val="center" w:pos="4153"/>
        <w:tab w:val="right" w:pos="8306"/>
      </w:tabs>
      <w:snapToGrid w:val="0"/>
      <w:spacing w:line="240" w:lineRule="atLeast"/>
    </w:pPr>
    <w:rPr>
      <w:sz w:val="18"/>
      <w:szCs w:val="18"/>
      <w:lang w:val="en-US" w:eastAsia="zh-CN"/>
    </w:rPr>
  </w:style>
  <w:style w:type="paragraph" w:styleId="Header">
    <w:name w:val="Header"/>
    <w:basedOn w:val="Normal"/>
    <w:link w:val="页眉Char"/>
    <w:unhideWhenUsed/>
    <w:qFormat/>
    <w:pPr>
      <w:pBdr>
        <w:bottom w:val="single" w:sz="6" w:space="1" w:color="auto"/>
      </w:pBdr>
      <w:tabs>
        <w:tab w:val="center" w:pos="4153"/>
        <w:tab w:val="right" w:pos="8306"/>
      </w:tabs>
      <w:snapToGrid w:val="0"/>
      <w:spacing w:line="240" w:lineRule="atLeast"/>
      <w:jc w:val="center"/>
    </w:pPr>
    <w:rPr>
      <w:sz w:val="18"/>
      <w:szCs w:val="18"/>
      <w:lang w:val="en-US" w:eastAsia="zh-CN"/>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lang w:val="en-US" w:eastAsia="zh-CN"/>
    </w:rPr>
  </w:style>
  <w:style w:type="paragraph" w:styleId="Normal(Web)">
    <w:name w:val="Normal (Web)"/>
    <w:basedOn w:val="Normal"/>
    <w:uiPriority w:val="99"/>
    <w:unhideWhenUsed/>
    <w:qFormat/>
    <w:rPr>
      <w:sz w:val="24"/>
      <w:lang w:val="en-US" w:eastAsia="zh-CN"/>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标题1Char">
    <w:name w:val="标题 1 Char"/>
    <w:link w:val="Heading1"/>
    <w:uiPriority w:val="9"/>
    <w:qFormat/>
    <w:rPr>
      <w:b/>
      <w:bCs/>
      <w:kern w:val="44"/>
      <w:sz w:val="44"/>
      <w:szCs w:val="44"/>
    </w:rPr>
  </w:style>
  <w:style w:type="character" w:customStyle="1" w:styleId="标题2Char">
    <w:name w:val="标题 2 Char"/>
    <w:link w:val="Heading2"/>
    <w:uiPriority w:val="9"/>
    <w:semiHidden/>
    <w:qFormat/>
    <w:rPr>
      <w:rFonts w:ascii="Cambria" w:eastAsia="宋体" w:hAnsi="Cambria" w:cs="Times New Roman"/>
      <w:b/>
      <w:bCs/>
      <w:sz w:val="32"/>
      <w:szCs w:val="32"/>
    </w:rPr>
  </w:style>
  <w:style w:type="character" w:customStyle="1" w:styleId="标题3Char">
    <w:name w:val="标题 3 Char"/>
    <w:link w:val="Heading3"/>
    <w:uiPriority w:val="9"/>
    <w:semiHidden/>
    <w:qFormat/>
    <w:rPr>
      <w:b/>
      <w:bCs/>
      <w:sz w:val="32"/>
      <w:szCs w:val="32"/>
    </w:rPr>
  </w:style>
  <w:style w:type="character" w:customStyle="1" w:styleId="批注框文本Char">
    <w:name w:val="批注框文本 Char"/>
    <w:link w:val="BalloonText"/>
    <w:uiPriority w:val="99"/>
    <w:semiHidden/>
    <w:qFormat/>
    <w:rPr>
      <w:sz w:val="18"/>
      <w:szCs w:val="18"/>
    </w:rPr>
  </w:style>
  <w:style w:type="character" w:customStyle="1" w:styleId="页脚Char">
    <w:name w:val="页脚 Char"/>
    <w:link w:val="Footer"/>
    <w:semiHidden/>
    <w:qFormat/>
    <w:rPr>
      <w:sz w:val="18"/>
      <w:szCs w:val="18"/>
    </w:rPr>
  </w:style>
  <w:style w:type="character" w:customStyle="1" w:styleId="页眉Char">
    <w:name w:val="页眉 Char"/>
    <w:link w:val="Header"/>
    <w:semiHidden/>
    <w:qFormat/>
    <w:rPr>
      <w:sz w:val="18"/>
      <w:szCs w:val="18"/>
    </w:rPr>
  </w:style>
  <w:style w:type="paragraph" w:customStyle="1" w:styleId="TOC标题">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lang w:val="en-US" w:eastAsia="zh-CN"/>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paragraph" w:customStyle="1" w:styleId="WPSOffice手动目录2">
    <w:name w:val="WPSOffice手动目录 2"/>
    <w:qFormat/>
    <w:pPr>
      <w:ind w:leftChars="200"/>
    </w:pPr>
    <w:rPr>
      <w:rFonts w:ascii="Times New Roman" w:eastAsia="宋体" w:hAnsi="Times New Roman" w:cs="Times New Roman"/>
      <w:sz w:val="20"/>
      <w:szCs w:val="20"/>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theme" Target="theme/theme1.xml" /><Relationship Id="rId25" Type="http://schemas.openxmlformats.org/officeDocument/2006/relationships/styles" Target="styles.xml" /><Relationship Id="rId26" Type="http://schemas.openxmlformats.org/officeDocument/2006/relationships/webSettings" Target="webSettings.xml" /><Relationship Id="rId27" Type="http://schemas.openxmlformats.org/officeDocument/2006/relationships/fontTable" Target="fontTable.xml" /><Relationship Id="rId28"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21.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7.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9.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611412d9-9bd1-49c6-898e-32e5b10e4a57}">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c3ab585a-6ba2-4fc7-be37-d151daaab6c4}">
  <ds:schemaRefs/>
</ds:datastoreItem>
</file>

<file path=customXml/itemProps14.xml><?xml version="1.0" encoding="utf-8"?>
<ds:datastoreItem xmlns:ds="http://schemas.openxmlformats.org/officeDocument/2006/customXml" ds:itemID="{8445723e-1c18-4162-bee5-0642e591ae1d}">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696f2980-23d8-403f-a1d5-fc1c8d10704c}">
  <ds:schemaRefs/>
</ds:datastoreItem>
</file>

<file path=customXml/itemProps17.xml><?xml version="1.0" encoding="utf-8"?>
<ds:datastoreItem xmlns:ds="http://schemas.openxmlformats.org/officeDocument/2006/customXml" ds:itemID="{30725f48-01cb-48aa-a7bb-504ed9a54385}">
  <ds:schemaRefs/>
</ds:datastoreItem>
</file>

<file path=customXml/itemProps18.xml><?xml version="1.0" encoding="utf-8"?>
<ds:datastoreItem xmlns:ds="http://schemas.openxmlformats.org/officeDocument/2006/customXml" ds:itemID="{a7a12f52-7f7e-49e8-9ded-3d2e6e172a8b}">
  <ds:schemaRefs/>
</ds:datastoreItem>
</file>

<file path=customXml/itemProps19.xml><?xml version="1.0" encoding="utf-8"?>
<ds:datastoreItem xmlns:ds="http://schemas.openxmlformats.org/officeDocument/2006/customXml" ds:itemID="{52c2f3b5-2fed-4cf7-bade-85673cca97a7}">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1709ea4b-bc17-47d8-8a6c-f6be750a562f}">
  <ds:schemaRefs/>
</ds:datastoreItem>
</file>

<file path=customXml/itemProps21.xml><?xml version="1.0" encoding="utf-8"?>
<ds:datastoreItem xmlns:ds="http://schemas.openxmlformats.org/officeDocument/2006/customXml" ds:itemID="{a460a401-5645-4b19-9032-4f3214354ad2}">
  <ds:schemaRefs/>
</ds:datastoreItem>
</file>

<file path=customXml/itemProps3.xml><?xml version="1.0" encoding="utf-8"?>
<ds:datastoreItem xmlns:ds="http://schemas.openxmlformats.org/officeDocument/2006/customXml" ds:itemID="{68cd3a8f-9c94-403b-aeaa-050e2144b593}">
  <ds:schemaRefs/>
</ds:datastoreItem>
</file>

<file path=customXml/itemProps4.xml><?xml version="1.0" encoding="utf-8"?>
<ds:datastoreItem xmlns:ds="http://schemas.openxmlformats.org/officeDocument/2006/customXml" ds:itemID="{217734ff-e389-4970-b253-703d7fc180dd}">
  <ds:schemaRefs/>
</ds:datastoreItem>
</file>

<file path=customXml/itemProps5.xml><?xml version="1.0" encoding="utf-8"?>
<ds:datastoreItem xmlns:ds="http://schemas.openxmlformats.org/officeDocument/2006/customXml" ds:itemID="{29c29699-4f72-40f4-b55a-008b4ca23939}">
  <ds:schemaRefs/>
</ds:datastoreItem>
</file>

<file path=customXml/itemProps6.xml><?xml version="1.0" encoding="utf-8"?>
<ds:datastoreItem xmlns:ds="http://schemas.openxmlformats.org/officeDocument/2006/customXml" ds:itemID="{8b3b8d83-7812-4532-aad4-c9247d36013a}">
  <ds:schemaRefs/>
</ds:datastoreItem>
</file>

<file path=customXml/itemProps7.xml><?xml version="1.0" encoding="utf-8"?>
<ds:datastoreItem xmlns:ds="http://schemas.openxmlformats.org/officeDocument/2006/customXml" ds:itemID="{9a986101-a5d4-42f8-9bd2-ed831c27e849}">
  <ds:schemaRefs/>
</ds:datastoreItem>
</file>

<file path=customXml/itemProps8.xml><?xml version="1.0" encoding="utf-8"?>
<ds:datastoreItem xmlns:ds="http://schemas.openxmlformats.org/officeDocument/2006/customXml" ds:itemID="{9b7e5bbc-85b6-4507-a266-8a5908359f3f}">
  <ds:schemaRefs/>
</ds:datastoreItem>
</file>

<file path=customXml/itemProps9.xml><?xml version="1.0" encoding="utf-8"?>
<ds:datastoreItem xmlns:ds="http://schemas.openxmlformats.org/officeDocument/2006/customXml" ds:itemID="{e3799c1f-725d-428d-8919-8f8656367b63}">
  <ds:schemaRefs/>
</ds:datastoreItem>
</file>

<file path=docProps/app.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5</cp:revision>
  <cp:lastPrinted>2025-07-05T03:27:00Z</cp:lastPrinted>
  <dcterms:created xsi:type="dcterms:W3CDTF">2019-08-07T18:37:00Z</dcterms:created>
  <dcterms:modified xsi:type="dcterms:W3CDTF">2025-08-15T11:25:18Z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